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mpanyLine"/>
      </w:pPr>
      <w:r>
        <w:t>FourAngryBirds EdTech &amp; HR Solutions JSC</w:t>
      </w:r>
    </w:p>
    <w:p>
      <w:pPr>
        <w:pStyle w:val="Heading1"/>
      </w:pPr>
      <w:r>
        <w:t>Vendor &amp; Procurement Procedure</w:t>
      </w:r>
    </w:p>
    <w:tbl>
      <w:tblPr>
        <w:tblStyle w:val="TableGrid"/>
        <w:tblW w:type="auto" w:w="0"/>
        <w:tblLook w:firstColumn="1" w:firstRow="1" w:lastColumn="0" w:lastRow="0" w:noHBand="0" w:noVBand="1" w:val="04A0"/>
      </w:tblPr>
      <w:tblGrid>
        <w:gridCol w:w="4819"/>
        <w:gridCol w:w="4819"/>
      </w:tblGrid>
      <w:tr>
        <w:tc>
          <w:tcPr>
            <w:tcW w:type="dxa" w:w="4819"/>
          </w:tcPr>
          <w:p>
            <w:r>
              <w:t>Document ID</w:t>
            </w:r>
          </w:p>
        </w:tc>
        <w:tc>
          <w:tcPr>
            <w:tcW w:type="dxa" w:w="4819"/>
          </w:tcPr>
          <w:p>
            <w:r>
              <w:t>DOC-24</w:t>
            </w:r>
          </w:p>
        </w:tc>
      </w:tr>
      <w:tr>
        <w:tc>
          <w:tcPr>
            <w:tcW w:type="dxa" w:w="4819"/>
          </w:tcPr>
          <w:p>
            <w:r>
              <w:t>Vietnamese title</w:t>
            </w:r>
          </w:p>
        </w:tc>
        <w:tc>
          <w:tcPr>
            <w:tcW w:type="dxa" w:w="4819"/>
          </w:tcPr>
          <w:p>
            <w:r>
              <w:t>Quy trình mua hàng và quản lý nhà cung cấp</w:t>
            </w:r>
          </w:p>
        </w:tc>
      </w:tr>
      <w:tr>
        <w:tc>
          <w:tcPr>
            <w:tcW w:type="dxa" w:w="4819"/>
          </w:tcPr>
          <w:p>
            <w:r>
              <w:t>Category</w:t>
            </w:r>
          </w:p>
        </w:tc>
        <w:tc>
          <w:tcPr>
            <w:tcW w:type="dxa" w:w="4819"/>
          </w:tcPr>
          <w:p>
            <w:r>
              <w:t>Process Manual</w:t>
            </w:r>
          </w:p>
        </w:tc>
      </w:tr>
      <w:tr>
        <w:tc>
          <w:tcPr>
            <w:tcW w:type="dxa" w:w="4819"/>
          </w:tcPr>
          <w:p>
            <w:r>
              <w:t>Department</w:t>
            </w:r>
          </w:p>
        </w:tc>
        <w:tc>
          <w:tcPr>
            <w:tcW w:type="dxa" w:w="4819"/>
          </w:tcPr>
          <w:p>
            <w:r>
              <w:t>Operations</w:t>
            </w:r>
          </w:p>
        </w:tc>
      </w:tr>
      <w:tr>
        <w:tc>
          <w:tcPr>
            <w:tcW w:type="dxa" w:w="4819"/>
          </w:tcPr>
          <w:p>
            <w:r>
              <w:t>Version</w:t>
            </w:r>
          </w:p>
        </w:tc>
        <w:tc>
          <w:tcPr>
            <w:tcW w:type="dxa" w:w="4819"/>
          </w:tcPr>
          <w:p>
            <w:r>
              <w:t>1.0</w:t>
            </w:r>
          </w:p>
        </w:tc>
      </w:tr>
      <w:tr>
        <w:tc>
          <w:tcPr>
            <w:tcW w:type="dxa" w:w="4819"/>
          </w:tcPr>
          <w:p>
            <w:r>
              <w:t>Status</w:t>
            </w:r>
          </w:p>
        </w:tc>
        <w:tc>
          <w:tcPr>
            <w:tcW w:type="dxa" w:w="4819"/>
          </w:tcPr>
          <w:p>
            <w:r>
              <w:t>Active</w:t>
            </w:r>
          </w:p>
        </w:tc>
      </w:tr>
      <w:tr>
        <w:tc>
          <w:tcPr>
            <w:tcW w:type="dxa" w:w="4819"/>
          </w:tcPr>
          <w:p>
            <w:r>
              <w:t>Effective date</w:t>
            </w:r>
          </w:p>
        </w:tc>
        <w:tc>
          <w:tcPr>
            <w:tcW w:type="dxa" w:w="4819"/>
          </w:tcPr>
          <w:p>
            <w:r>
              <w:t>2026-09-01</w:t>
            </w:r>
          </w:p>
        </w:tc>
      </w:tr>
      <w:tr>
        <w:tc>
          <w:tcPr>
            <w:tcW w:type="dxa" w:w="4819"/>
          </w:tcPr>
          <w:p>
            <w:r>
              <w:t>Owner</w:t>
            </w:r>
          </w:p>
        </w:tc>
        <w:tc>
          <w:tcPr>
            <w:tcW w:type="dxa" w:w="4819"/>
          </w:tcPr>
          <w:p>
            <w:r>
              <w:t>Branch Manager</w:t>
            </w:r>
          </w:p>
        </w:tc>
      </w:tr>
    </w:tbl>
    <w:p/>
    <w:p>
      <w:pPr>
        <w:pStyle w:val="Heading2"/>
      </w:pPr>
      <w:r>
        <w:t>1. Purpose</w:t>
      </w:r>
    </w:p>
    <w:p>
      <w:r>
        <w:rPr>
          <w:b w:val="0"/>
        </w:rPr>
        <w:t>This procedure describes how the Company selects vendors, raises purchase orders, receives goods and services, and checks invoices before payment. It gives the detail behind the vendor and logistics duties of the Operations Coordinator in DOC-12 §6.3 and the purchase approval limits of DOC-12 §3.1.</w:t>
      </w:r>
    </w:p>
    <w:p>
      <w:pPr>
        <w:pStyle w:val="Heading2"/>
      </w:pPr>
      <w:r>
        <w:t>2. Scope</w:t>
      </w:r>
    </w:p>
    <w:p>
      <w:r>
        <w:rPr>
          <w:b w:val="0"/>
        </w:rPr>
        <w:t>The procedure applies to every purchase of goods or services paid by the Company from a vendor: training venues, printing, transport, catering, equipment, software subscriptions, agencies and contracted trainers. It does not apply to salaries or to expenses that an employee pays personally and then claims, which follow DOC-09.</w:t>
      </w:r>
    </w:p>
    <w:p>
      <w:pPr>
        <w:pStyle w:val="Heading2"/>
      </w:pPr>
      <w:r>
        <w:t>3. Roles</w:t>
      </w:r>
    </w:p>
    <w:p>
      <w:pPr>
        <w:pStyle w:val="ListBullet"/>
      </w:pPr>
      <w:r>
        <w:rPr>
          <w:b/>
        </w:rPr>
        <w:t>Requester</w:t>
      </w:r>
      <w:r>
        <w:rPr>
          <w:b w:val="0"/>
        </w:rPr>
        <w:t>: any employee who needs a purchase. The requester describes the need and the budget line.</w:t>
      </w:r>
    </w:p>
    <w:p>
      <w:pPr>
        <w:pStyle w:val="ListBullet"/>
      </w:pPr>
      <w:r>
        <w:rPr>
          <w:b/>
        </w:rPr>
        <w:t>Operations Coordinator</w:t>
      </w:r>
      <w:r>
        <w:rPr>
          <w:b w:val="0"/>
        </w:rPr>
        <w:t>: collects quotes, raises purchase orders, registers vendors and confirms delivery for branch purchases.</w:t>
      </w:r>
    </w:p>
    <w:p>
      <w:pPr>
        <w:pStyle w:val="ListBullet"/>
      </w:pPr>
      <w:r>
        <w:rPr>
          <w:b/>
        </w:rPr>
        <w:t>Branch Manager</w:t>
      </w:r>
      <w:r>
        <w:rPr>
          <w:b w:val="0"/>
        </w:rPr>
        <w:t>: approves purchase orders up to 100,000,000 VND per order (DOC-12 §3.1).</w:t>
      </w:r>
    </w:p>
    <w:p>
      <w:pPr>
        <w:pStyle w:val="ListBullet"/>
      </w:pPr>
      <w:r>
        <w:rPr>
          <w:b/>
        </w:rPr>
        <w:t>Chief Operating Officer</w:t>
      </w:r>
      <w:r>
        <w:rPr>
          <w:b w:val="0"/>
        </w:rPr>
        <w:t>: approves purchase orders above 100,000,000 VND.</w:t>
      </w:r>
    </w:p>
    <w:p>
      <w:pPr>
        <w:pStyle w:val="ListBullet"/>
      </w:pPr>
      <w:r>
        <w:rPr>
          <w:b/>
        </w:rPr>
        <w:t>Finance Associate</w:t>
      </w:r>
      <w:r>
        <w:rPr>
          <w:b w:val="0"/>
        </w:rPr>
        <w:t>: verifies vendor invoices against the purchase order and the delivery confirmation (DOC-15 §4.2).</w:t>
      </w:r>
    </w:p>
    <w:p>
      <w:pPr>
        <w:pStyle w:val="ListBullet"/>
      </w:pPr>
      <w:r>
        <w:rPr>
          <w:b/>
        </w:rPr>
        <w:t>Data Privacy Officer</w:t>
      </w:r>
      <w:r>
        <w:rPr>
          <w:b w:val="0"/>
        </w:rPr>
        <w:t>: signs off vendors that will process personal data (DOC-05 §6).</w:t>
      </w:r>
    </w:p>
    <w:p>
      <w:pPr>
        <w:pStyle w:val="Heading2"/>
      </w:pPr>
      <w:r>
        <w:t>4. Requesting a Purchase</w:t>
      </w:r>
    </w:p>
    <w:p>
      <w:pPr>
        <w:pStyle w:val="ListBullet"/>
      </w:pPr>
      <w:r>
        <w:rPr>
          <w:b w:val="0"/>
        </w:rPr>
        <w:t>The requester submits a purchase request in the procurement form with the description, quantity, date needed, budget line and estimated cost.</w:t>
      </w:r>
    </w:p>
    <w:p>
      <w:pPr>
        <w:pStyle w:val="ListBullet"/>
      </w:pPr>
      <w:r>
        <w:rPr>
          <w:b w:val="0"/>
        </w:rPr>
        <w:t>A request without a budget line needs the Finance Manager's approval before quotes are collected (DOC-28 §5).</w:t>
      </w:r>
    </w:p>
    <w:p>
      <w:pPr>
        <w:pStyle w:val="ListBullet"/>
      </w:pPr>
      <w:r>
        <w:rPr>
          <w:b w:val="0"/>
        </w:rPr>
        <w:t>Requests are submitted at least 10 business days before the date needed. Urgent requests are marked as urgent with a reason.</w:t>
      </w:r>
    </w:p>
    <w:p>
      <w:pPr>
        <w:pStyle w:val="Heading2"/>
      </w:pPr>
      <w:r>
        <w:t>5. Quotes and Vendor Selection</w:t>
      </w:r>
    </w:p>
    <w:p>
      <w:pPr>
        <w:pStyle w:val="Heading3"/>
      </w:pPr>
      <w:r>
        <w:t>5.1 Number of Quotes</w:t>
      </w:r>
    </w:p>
    <w:p>
      <w:pPr>
        <w:pStyle w:val="ListBullet"/>
      </w:pPr>
      <w:r>
        <w:rPr>
          <w:b w:val="0"/>
        </w:rPr>
        <w:t>Estimated cost below 20,000,000 VND: one quote from a registered vendor is enough.</w:t>
      </w:r>
    </w:p>
    <w:p>
      <w:pPr>
        <w:pStyle w:val="ListBullet"/>
      </w:pPr>
      <w:r>
        <w:rPr>
          <w:b w:val="0"/>
        </w:rPr>
        <w:t>From 20,000,000 VND up to 100,000,000 VND: at least two written quotes.</w:t>
      </w:r>
    </w:p>
    <w:p>
      <w:pPr>
        <w:pStyle w:val="ListBullet"/>
      </w:pPr>
      <w:r>
        <w:rPr>
          <w:b w:val="0"/>
        </w:rPr>
        <w:t>Above 100,000,000 VND: at least three written quotes, compared in a short evaluation note.</w:t>
      </w:r>
    </w:p>
    <w:p>
      <w:pPr>
        <w:pStyle w:val="Heading3"/>
      </w:pPr>
      <w:r>
        <w:t>5.2 Selection Criteria</w:t>
      </w:r>
    </w:p>
    <w:p>
      <w:r>
        <w:rPr>
          <w:b w:val="0"/>
        </w:rPr>
        <w:t>Vendors are compared on price, quality, delivery time, payment terms and past performance recorded in the vendor review of Section 8. The lowest price is not always chosen, but the reason for choosing a more expensive quote is written in the evaluation note.</w:t>
      </w:r>
    </w:p>
    <w:p>
      <w:pPr>
        <w:pStyle w:val="Heading3"/>
      </w:pPr>
      <w:r>
        <w:t>5.3 Splitting Purchases</w:t>
      </w:r>
    </w:p>
    <w:p>
      <w:r>
        <w:rPr>
          <w:b w:val="0"/>
        </w:rPr>
        <w:t>A purchase is not split into several smaller orders to avoid a quote requirement or an approval limit. Splitting is a policy violation handled under DOC-04 §6.</w:t>
      </w:r>
    </w:p>
    <w:p>
      <w:pPr>
        <w:pStyle w:val="Heading2"/>
      </w:pPr>
      <w:r>
        <w:t>6. Purchase Orders [MANDATORY]</w:t>
      </w:r>
    </w:p>
    <w:p>
      <w:pPr>
        <w:pStyle w:val="ListBullet"/>
      </w:pPr>
      <w:r>
        <w:rPr>
          <w:b w:val="0"/>
        </w:rPr>
        <w:t>Every purchase from a vendor has an approved purchase order before the vendor starts work or delivers goods.</w:t>
      </w:r>
    </w:p>
    <w:p>
      <w:pPr>
        <w:pStyle w:val="ListBullet"/>
      </w:pPr>
      <w:r>
        <w:rPr>
          <w:b w:val="0"/>
        </w:rPr>
        <w:t>Approval limits: up to 100,000,000 VND per order by the Branch Manager; above that by the Chief Operating Officer (DOC-12 §3.1). For the Đà Nẵng office the exception of DOC-20 §9 applies until a Branch Manager is appointed there.</w:t>
      </w:r>
    </w:p>
    <w:p>
      <w:pPr>
        <w:pStyle w:val="ListBullet"/>
      </w:pPr>
      <w:r>
        <w:rPr>
          <w:b w:val="0"/>
        </w:rPr>
        <w:t>The purchase order states the vendor, the goods or services, quantities, prices, delivery date and payment terms.</w:t>
      </w:r>
    </w:p>
    <w:p>
      <w:pPr>
        <w:pStyle w:val="ListBullet"/>
      </w:pPr>
      <w:r>
        <w:rPr>
          <w:b w:val="0"/>
        </w:rPr>
        <w:t>Changes to price or quantity after approval need a revised purchase order approved at the level of the new total.</w:t>
      </w:r>
    </w:p>
    <w:p>
      <w:pPr>
        <w:pStyle w:val="Heading2"/>
      </w:pPr>
      <w:r>
        <w:t>7. Receiving and Invoice Matching [MANDATORY]</w:t>
      </w:r>
    </w:p>
    <w:p>
      <w:pPr>
        <w:pStyle w:val="ListBullet"/>
      </w:pPr>
      <w:r>
        <w:rPr>
          <w:b w:val="0"/>
        </w:rPr>
        <w:t>The requester or the Operations Coordinator confirms delivery in the procurement system within 2 business days of receiving the goods or the service.</w:t>
      </w:r>
    </w:p>
    <w:p>
      <w:pPr>
        <w:pStyle w:val="ListBullet"/>
      </w:pPr>
      <w:r>
        <w:rPr>
          <w:b w:val="0"/>
        </w:rPr>
        <w:t>Vendor invoices are sent to the Finance Associate, who checks that the invoice matches the approved purchase order and the delivery confirmation (DOC-12 §6.3, DOC-15 §4.2).</w:t>
      </w:r>
    </w:p>
    <w:p>
      <w:pPr>
        <w:pStyle w:val="ListBullet"/>
      </w:pPr>
      <w:r>
        <w:rPr>
          <w:b w:val="0"/>
        </w:rPr>
        <w:t>An invoice that does not match is returned to the vendor with the reason. It is not paid until a corrected invoice or a revised purchase order is received.</w:t>
      </w:r>
    </w:p>
    <w:p>
      <w:pPr>
        <w:pStyle w:val="ListBullet"/>
      </w:pPr>
      <w:r>
        <w:rPr>
          <w:b w:val="0"/>
        </w:rPr>
        <w:t>Approved invoices are paid in the weekly payment run according to the payment terms on the purchase order, normally within 30 calendar days of a correct invoice (DOC-28 §9).</w:t>
      </w:r>
    </w:p>
    <w:p>
      <w:pPr>
        <w:pStyle w:val="Heading2"/>
      </w:pPr>
      <w:r>
        <w:t>8. Vendor Review</w:t>
      </w:r>
    </w:p>
    <w:p>
      <w:r>
        <w:rPr>
          <w:b w:val="0"/>
        </w:rPr>
        <w:t>Every quarter, the Operations Coordinator reviews the vendors used during the quarter with the Branch Manager. The review records delivery on time, quality problems, invoice errors and complaints from partner schools linked to the vendor (DOC-23 §11). A vendor with two serious problems in a quarter is placed on hold and is not used until the Branch Manager approves it again.</w:t>
      </w:r>
    </w:p>
    <w:p>
      <w:pPr>
        <w:pStyle w:val="Heading2"/>
      </w:pPr>
      <w:r>
        <w:t>9. Registering a New Vendor</w:t>
      </w:r>
    </w:p>
    <w:p>
      <w:pPr>
        <w:pStyle w:val="Heading3"/>
      </w:pPr>
      <w:r>
        <w:t>9.1 Vendor Details</w:t>
      </w:r>
    </w:p>
    <w:p>
      <w:r>
        <w:rPr>
          <w:b w:val="0"/>
        </w:rPr>
        <w:t>A new vendor is registered before its first purchase order. The registration includes the legal name, tax code, address, contact person and bank account. The bank account is confirmed by a call-back to a phone number taken from an independent source, not from the email that sent the details.</w:t>
      </w:r>
    </w:p>
    <w:p>
      <w:pPr>
        <w:pStyle w:val="Heading3"/>
      </w:pPr>
      <w:r>
        <w:t>9.2 Changes of Bank Details</w:t>
      </w:r>
    </w:p>
    <w:p>
      <w:r>
        <w:rPr>
          <w:b w:val="0"/>
        </w:rPr>
        <w:t>A request to change a vendor's bank details follows DOC-15 §4.3: call-back verification to a phone number already on file and a second approval by the Finance Manager. A change request received only by email is treated as a possible phishing incident and reported to IT Security within 1 hour (DOC-06 §5).</w:t>
      </w:r>
    </w:p>
    <w:p>
      <w:pPr>
        <w:pStyle w:val="Heading3"/>
      </w:pPr>
      <w:r>
        <w:t>9.3 Vendors Handling Personal Data [MANDATORY]</w:t>
      </w:r>
    </w:p>
    <w:p>
      <w:r>
        <w:rPr>
          <w:b w:val="0"/>
        </w:rPr>
        <w:t>A vendor that will receive or process personal data, such as learner lists, customer contacts or employee records, needs a signed data-processing agreement and Data Privacy Officer sign-off before any data is shared (DOC-05 §6). Examples are email platforms, survey tools, printing of certificates with learner names and contracted trainers who access the learning platform.</w:t>
      </w:r>
    </w:p>
    <w:p>
      <w:pPr>
        <w:pStyle w:val="Heading2"/>
      </w:pPr>
      <w:r>
        <w:t>10. Conflict of Interest [MANDATORY]</w:t>
      </w:r>
    </w:p>
    <w:p>
      <w:r>
        <w:rPr>
          <w:b w:val="0"/>
        </w:rPr>
        <w:t>An employee who has a family relationship with a vendor or a business interest in it discloses this to the HR Executive within 10 business days (DOC-04 §5) and takes no part in selecting or approving that vendor. Gifts from vendors above a token value are declined.</w:t>
      </w:r>
    </w:p>
    <w:p>
      <w:pPr>
        <w:pStyle w:val="Heading2"/>
      </w:pPr>
      <w:r>
        <w:t>11. Contracts and Records</w:t>
      </w:r>
    </w:p>
    <w:p>
      <w:pPr>
        <w:pStyle w:val="ListBullet"/>
      </w:pPr>
      <w:r>
        <w:rPr>
          <w:b w:val="0"/>
        </w:rPr>
        <w:t>Service contracts longer than 12 months are reviewed by the Branch Manager before signature.</w:t>
      </w:r>
    </w:p>
    <w:p>
      <w:pPr>
        <w:pStyle w:val="ListBullet"/>
      </w:pPr>
      <w:r>
        <w:rPr>
          <w:b w:val="0"/>
        </w:rPr>
        <w:t>Purchase requests, quotes, evaluation notes, purchase orders, delivery confirmations and invoices are kept together in the procurement system.</w:t>
      </w:r>
    </w:p>
    <w:p>
      <w:pPr>
        <w:pStyle w:val="ListBullet"/>
      </w:pPr>
      <w:r>
        <w:rPr>
          <w:b w:val="0"/>
        </w:rPr>
        <w:t>Financial records are kept for 10 years (DOC-28 §11).</w:t>
      </w:r>
    </w:p>
    <w:p>
      <w:pPr>
        <w:pStyle w:val="Heading2"/>
      </w:pPr>
      <w:r>
        <w:t>12. Optional Practice [OPTIONAL]</w:t>
      </w:r>
    </w:p>
    <w:p>
      <w:r>
        <w:rPr>
          <w:b w:val="0"/>
        </w:rPr>
        <w:t>For recurring purchases such as printing and transport, a framework agreement with one or two vendors is encouraged to reduce the number of quotes needed during the year.</w:t>
      </w:r>
    </w:p>
    <w:p>
      <w:pPr>
        <w:pStyle w:val="Heading2"/>
      </w:pPr>
      <w:r>
        <w:t>13. Cross-References</w:t>
      </w:r>
    </w:p>
    <w:p>
      <w:pPr>
        <w:pStyle w:val="ListBullet"/>
      </w:pPr>
      <w:r>
        <w:rPr>
          <w:b w:val="0"/>
        </w:rPr>
        <w:t>Operations Coordinator vendor duties: DOC-12 §6.3; approval limits: DOC-12 §3.1</w:t>
      </w:r>
    </w:p>
    <w:p>
      <w:pPr>
        <w:pStyle w:val="ListBullet"/>
      </w:pPr>
      <w:r>
        <w:rPr>
          <w:b w:val="0"/>
        </w:rPr>
        <w:t>Đà Nẵng purchase approval: DOC-20 §9</w:t>
      </w:r>
    </w:p>
    <w:p>
      <w:pPr>
        <w:pStyle w:val="ListBullet"/>
      </w:pPr>
      <w:r>
        <w:rPr>
          <w:b w:val="0"/>
        </w:rPr>
        <w:t>Finance Associate checks and bank-detail changes: DOC-15 §4.2, §4.3</w:t>
      </w:r>
    </w:p>
    <w:p>
      <w:pPr>
        <w:pStyle w:val="ListBullet"/>
      </w:pPr>
      <w:r>
        <w:rPr>
          <w:b w:val="0"/>
        </w:rPr>
        <w:t>Personal data with vendors: DOC-05 §6; phishing reporting: DOC-06 §5</w:t>
      </w:r>
    </w:p>
    <w:p>
      <w:pPr>
        <w:pStyle w:val="ListBullet"/>
      </w:pPr>
      <w:r>
        <w:rPr>
          <w:b w:val="0"/>
        </w:rPr>
        <w:t>Conflict of interest: DOC-04 §5; disciplinary process: DOC-04 §6</w:t>
      </w:r>
    </w:p>
    <w:p>
      <w:pPr>
        <w:pStyle w:val="ListBullet"/>
      </w:pPr>
      <w:r>
        <w:rPr>
          <w:b w:val="0"/>
        </w:rPr>
        <w:t>Budget lines and payment runs: DOC-28 §5, §9</w:t>
      </w:r>
    </w:p>
    <w:p>
      <w:pPr>
        <w:pStyle w:val="ListBullet"/>
      </w:pPr>
      <w:r>
        <w:rPr>
          <w:b w:val="0"/>
        </w:rPr>
        <w:t>Session logistics: DOC-23 §5</w:t>
      </w:r>
    </w:p>
    <w:sectPr w:rsidR="00FC693F" w:rsidRPr="0006063C" w:rsidSect="00034616">
      <w:pgSz w:w="11906" w:h="16838"/>
      <w:pgMar w:top="1247" w:right="1134" w:bottom="124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12E81"/>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12E8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12E8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nyLine">
    <w:name w:val="Company Line"/>
    <w:basedOn w:val="Normal"/>
    <w:rPr>
      <w:color w:val="6D28D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