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Data Privacy Policy — FourAngryBirds EdTech &amp; HR Solutions JSC</w:t>
      </w:r>
    </w:p>
    <w:p>
      <w:r>
        <w:rPr>
          <w:b/>
        </w:rPr>
        <w:t xml:space="preserve">Version 1.0 — Effective 2026-01-01</w:t>
      </w:r>
    </w:p>
    <w:p>
      <w:pPr>
        <w:pStyle w:val="Heading2"/>
      </w:pPr>
      <w:r>
        <w:t xml:space="preserve">1. Purpose &amp; Regulatory Basis</w:t>
      </w:r>
    </w:p>
    <w:p>
      <w:r>
        <w:t xml:space="preserve">This policy governs the handling of personal data belonging to employees, customers, and partners, in line with Vietnam's Decree 13/2023 on Personal Data Protection.</w:t>
      </w:r>
    </w:p>
    <w:p>
      <w:pPr>
        <w:pStyle w:val="Heading2"/>
      </w:pPr>
      <w:r>
        <w:t xml:space="preserve">2. Scope of Personal Data Covered</w:t>
      </w:r>
    </w:p>
    <w:p>
      <w:r>
        <w:t xml:space="preserve">Includes, but is not limited to: employee records, customer contact details, payment information, and learner progress data processed by the SkillSprint AI platform.</w:t>
      </w:r>
    </w:p>
    <w:p>
      <w:pPr>
        <w:pStyle w:val="Heading2"/>
      </w:pPr>
      <w:r>
        <w:t xml:space="preserve">3. Data Collection &amp; Consent [MANDATORY]</w:t>
      </w:r>
    </w:p>
    <w:p>
      <w:r>
        <w:t xml:space="preserve">Personal data may only be collected for a stated business purpose, with the data subject's informed consent recorded at the point of collection.</w:t>
      </w:r>
    </w:p>
    <w:p>
      <w:pPr>
        <w:pStyle w:val="Heading2"/>
      </w:pPr>
      <w:r>
        <w:t xml:space="preserve">4. Data Access Roles &amp; Least-Privilege [ROLE-SPECIFIC]</w:t>
      </w:r>
    </w:p>
    <w:p>
      <w:pPr>
        <w:pStyle w:val="ListParagraph"/>
      </w:pPr>
      <w:r>
        <w:t xml:space="preserve">â€¢ </w:t>
      </w:r>
      <w:r>
        <w:rPr>
          <w:b/>
        </w:rPr>
        <w:t xml:space="preserve">Data Analyst</w:t>
      </w:r>
      <w:r>
        <w:t xml:space="preserve">: read access to anonymized/aggregated datasets only, by default.</w:t>
      </w:r>
    </w:p>
    <w:p>
      <w:pPr>
        <w:pStyle w:val="ListParagraph"/>
      </w:pPr>
      <w:r>
        <w:t xml:space="preserve">â€¢ </w:t>
      </w:r>
      <w:r>
        <w:rPr>
          <w:b/>
        </w:rPr>
        <w:t xml:space="preserve">HR Executive</w:t>
      </w:r>
      <w:r>
        <w:t xml:space="preserve">: access to employee personal records, restricted to HR-necessary fields.</w:t>
      </w:r>
    </w:p>
    <w:p>
      <w:pPr>
        <w:pStyle w:val="ListParagraph"/>
      </w:pPr>
      <w:r>
        <w:t xml:space="preserve">â€¢ </w:t>
      </w:r>
      <w:r>
        <w:rPr>
          <w:b/>
        </w:rPr>
        <w:t xml:space="preserve">Finance Associate</w:t>
      </w:r>
      <w:r>
        <w:t xml:space="preserve">: access to payment and reimbursement data only.</w:t>
      </w:r>
    </w:p>
    <w:p>
      <w:r>
        <w:t xml:space="preserve">Access beyond these defaults requires written approval from the Data Privacy Officer (a designated HR Executive responsibility).</w:t>
      </w:r>
    </w:p>
    <w:p>
      <w:pPr>
        <w:pStyle w:val="Heading2"/>
      </w:pPr>
      <w:r>
        <w:t xml:space="preserve">5. Data Retention &amp; Deletion Schedule</w:t>
      </w:r>
    </w:p>
    <w:p>
      <w:r>
        <w:t xml:space="preserve">Employee records are retained for 5 years after termination of employment, per statutory requirement. Customer data is retained for 3 years after the last active engagement, then anonymized or deleted.</w:t>
      </w:r>
    </w:p>
    <w:p>
      <w:pPr>
        <w:pStyle w:val="Heading2"/>
      </w:pPr>
      <w:r>
        <w:t xml:space="preserve">6. Third-Party Data Sharing Restrictions [MANDATORY]</w:t>
      </w:r>
    </w:p>
    <w:p>
      <w:r>
        <w:t xml:space="preserve">Personal data must not be shared with any third party without a signed data-processing agreement and Data Privacy Officer sign-off.</w:t>
      </w:r>
    </w:p>
    <w:p>
      <w:pPr>
        <w:pStyle w:val="Heading2"/>
      </w:pPr>
      <w:r>
        <w:t xml:space="preserve">7. Breach Notification Procedure</w:t>
      </w:r>
    </w:p>
    <w:p>
      <w:r>
        <w:t xml:space="preserve">Any suspected data breach must be reported within 24 hours through the incident channel defined in the Information Security Policy (</w:t>
      </w:r>
      <w:r>
        <w:rPr>
          <w:b/>
        </w:rPr>
        <w:t xml:space="preserve">DOC-06 §5</w:t>
      </w:r>
      <w:r>
        <w:t xml:space="preserve">). The Data Privacy Officer must notify affected individuals within statutory deadlines where required.</w:t>
      </w:r>
    </w:p>
    <w:p>
      <w:pPr>
        <w:pStyle w:val="Heading2"/>
      </w:pPr>
      <w:r>
        <w:t xml:space="preserve">8. Cross-References</w:t>
      </w:r>
    </w:p>
    <w:p>
      <w:pPr>
        <w:pStyle w:val="ListParagraph"/>
      </w:pPr>
      <w:r>
        <w:t xml:space="preserve">â€¢ </w:t>
      </w:r>
      <w:r>
        <w:t xml:space="preserve">Security incident escalation: DOC-06 §5</w:t>
      </w:r>
    </w:p>
    <w:p>
      <w:pPr>
        <w:pStyle w:val="ListParagraph"/>
      </w:pPr>
      <w:r>
        <w:t xml:space="preserve">â€¢ </w:t>
      </w:r>
      <w:r>
        <w:t xml:space="preserve">Access-control enforcement: DOC-06 §4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  <w:outlineLvl w:val="0"/>
    </w:pPr>
    <w:rPr>
      <w:b/>
      <w:sz w:val="40"/>
      <w:color w:val="1A1A1A"/>
    </w:rPr>
  </w:style>
  <w:style w:type="paragraph" w:styleId="Heading2">
    <w:name w:val="heading 2"/>
    <w:basedOn w:val="Normal"/>
    <w:qFormat/>
    <w:pPr>
      <w:spacing w:before="200" w:after="100"/>
      <w:outlineLvl w:val="1"/>
    </w:pPr>
    <w:rPr>
      <w:b/>
      <w:sz w:val="30"/>
      <w:color w:val="1A1A1A"/>
    </w:rPr>
  </w:style>
  <w:style w:type="paragraph" w:styleId="Heading3">
    <w:name w:val="heading 3"/>
    <w:basedOn w:val="Normal"/>
    <w:qFormat/>
    <w:pPr>
      <w:spacing w:before="160" w:after="80"/>
      <w:outlineLvl w:val="2"/>
    </w:pPr>
    <w:rPr>
      <w:b/>
      <w:sz w:val="26"/>
    </w:rPr>
  </w:style>
  <w:style w:type="paragraph" w:styleId="Quote">
    <w:name w:val="Quote"/>
    <w:basedOn w:val="Normal"/>
    <w:qFormat/>
    <w:pPr>
      <w:ind w:left="284"/>
      <w:spacing w:before="80" w:after="80"/>
    </w:pPr>
    <w:rPr>
      <w:i/>
      <w:color w:val="555555"/>
    </w:rPr>
  </w:style>
  <w:style w:type="paragraph" w:styleId="ListParagraph">
    <w:name w:val="List Paragraph"/>
    <w:basedOn w:val="Normal"/>
    <w:qFormat/>
    <w:pPr>
      <w:ind w:left="284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SkillSprint AI Doc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 Privacy Policy</dc:title>
  <dc:creator>FourAngryBirds EdTech &amp; HR Solutions JSC</dc:creator>
</cp:coreProperties>
</file>