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High-Level Test Plan</w:t>
        <w:br/>
      </w:r>
    </w:p>
    <w:p>
      <w:pPr>
        <w:jc w:val="center"/>
      </w:pPr>
      <w:r>
        <w:rPr>
          <w:color w:val="3B5998"/>
          <w:sz w:val="32"/>
        </w:rPr>
        <w:t>Online Book Store Platform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Project Name:</w:t>
            </w:r>
          </w:p>
        </w:tc>
        <w:tc>
          <w:tcPr>
            <w:tcW w:type="dxa" w:w="4680"/>
          </w:tcPr>
          <w:p>
            <w:r>
              <w:t>Online Book Store QA Assignment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680"/>
          </w:tcPr>
          <w:p>
            <w:r>
              <w:t>Lamaan Ali Bukhsh (Quality Assurance Intern)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680"/>
          </w:tcPr>
          <w:p>
            <w:r>
              <w:t>High-Level Test Plan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B365D"/>
        </w:rPr>
        <w:t>1. Introduction</w:t>
      </w:r>
    </w:p>
    <w:p>
      <w:r>
        <w:t>This High-Level Test Plan outlines the testing strategy, scope, environment, and deliverables for the Online Book Store platform. The primary objective is to validate that the e-commerce system delivers a friction-free, intuitive experience tailored to diverse reader archetypes, ensuring both functional integrity and adherence to non-functional quality attributes.</w:t>
      </w:r>
    </w:p>
    <w:p>
      <w:pPr>
        <w:pStyle w:val="Heading1"/>
      </w:pPr>
      <w:r>
        <w:rPr>
          <w:rFonts w:ascii="Calibri" w:hAnsi="Calibri"/>
          <w:b/>
          <w:color w:val="1B365D"/>
        </w:rPr>
        <w:t>2. Scope of Testing</w:t>
      </w:r>
    </w:p>
    <w:p>
      <w:r>
        <w:t>The scope of manual testing focuses on the core user workflows and custom persona modules integrated into the platform.</w:t>
      </w:r>
    </w:p>
    <w:p>
      <w:pPr>
        <w:pStyle w:val="Heading2"/>
      </w:pPr>
      <w:r>
        <w:rPr>
          <w:rFonts w:ascii="Calibri" w:hAnsi="Calibri"/>
          <w:b/>
          <w:color w:val="3B5998"/>
        </w:rPr>
        <w:t>In-Scope Features:</w:t>
      </w:r>
    </w:p>
    <w:p>
      <w:pPr>
        <w:pStyle w:val="ListBullet"/>
      </w:pPr>
      <w:r>
        <w:t>User Registration &amp; Authentication (Sign-up, login, password recovery).</w:t>
      </w:r>
    </w:p>
    <w:p>
      <w:pPr>
        <w:pStyle w:val="ListBullet"/>
      </w:pPr>
      <w:r>
        <w:t>Search &amp; Multi-Filter Catalog (Filtering by title, author, genre, release year, and price).</w:t>
      </w:r>
    </w:p>
    <w:p>
      <w:pPr>
        <w:pStyle w:val="ListBullet"/>
      </w:pPr>
      <w:r>
        <w:t>Cart Management &amp; State Persistence.</w:t>
      </w:r>
    </w:p>
    <w:p>
      <w:pPr>
        <w:pStyle w:val="ListBullet"/>
      </w:pPr>
      <w:r>
        <w:t>Secure Payment Gateway Integration (Interface logic and redirection).</w:t>
      </w:r>
    </w:p>
    <w:p>
      <w:pPr>
        <w:pStyle w:val="ListBullet"/>
      </w:pPr>
      <w:r>
        <w:t>Interactive Preview &amp; Age Guide (3-page viewer for children's books).</w:t>
      </w:r>
    </w:p>
    <w:p>
      <w:pPr>
        <w:pStyle w:val="ListBullet"/>
      </w:pPr>
      <w:r>
        <w:t>Textbook Section &amp; Downloadable PDF Table of Contents (TOC) Excerpts.</w:t>
      </w:r>
    </w:p>
    <w:p>
      <w:pPr>
        <w:pStyle w:val="ListBullet"/>
      </w:pPr>
      <w:r>
        <w:t>Personalized Reading Lists (Wishlist and 'Already Read' lists).</w:t>
      </w:r>
    </w:p>
    <w:p>
      <w:pPr>
        <w:pStyle w:val="ListBullet"/>
      </w:pPr>
      <w:r>
        <w:t>Author Self-Publishing Portal (Manuscript and metadata uploads).</w:t>
      </w:r>
    </w:p>
    <w:p>
      <w:pPr>
        <w:pStyle w:val="ListBullet"/>
      </w:pPr>
      <w:r>
        <w:t>Educator Reading List Sharing (Public shareable URLs for bulk cart addition).</w:t>
      </w:r>
    </w:p>
    <w:p>
      <w:pPr>
        <w:pStyle w:val="Heading2"/>
      </w:pPr>
      <w:r>
        <w:rPr>
          <w:rFonts w:ascii="Calibri" w:hAnsi="Calibri"/>
          <w:b/>
          <w:color w:val="3B5998"/>
        </w:rPr>
        <w:t>Out-of-Scope Features:</w:t>
      </w:r>
    </w:p>
    <w:p>
      <w:pPr>
        <w:pStyle w:val="ListBullet"/>
      </w:pPr>
      <w:r>
        <w:t>Internal processing logic of third-party payment gateways (e.g., bank-side validation).</w:t>
      </w:r>
    </w:p>
    <w:p>
      <w:pPr>
        <w:pStyle w:val="ListBullet"/>
      </w:pPr>
      <w:r>
        <w:t>Backend database maintenance and third-party CDN configuration.</w:t>
      </w:r>
    </w:p>
    <w:p>
      <w:pPr>
        <w:pStyle w:val="ListBullet"/>
      </w:pPr>
      <w:r>
        <w:t>Future scalability modules (e.g., community discussion boards, comment sections).</w:t>
      </w:r>
    </w:p>
    <w:p>
      <w:pPr>
        <w:pStyle w:val="Heading1"/>
      </w:pPr>
      <w:r>
        <w:rPr>
          <w:rFonts w:ascii="Calibri" w:hAnsi="Calibri"/>
          <w:b/>
          <w:color w:val="1B365D"/>
        </w:rPr>
        <w:t>3. Testing Objectives</w:t>
      </w:r>
    </w:p>
    <w:p>
      <w:pPr>
        <w:pStyle w:val="ListBullet"/>
      </w:pPr>
      <w:r>
        <w:t>Validate all Functional Requirements (FR-01 to FR-09) operate according to the accepted user stories and Gherkin criteria.</w:t>
      </w:r>
    </w:p>
    <w:p>
      <w:pPr>
        <w:pStyle w:val="ListBullet"/>
      </w:pPr>
      <w:r>
        <w:t>Ensure Non-Functional Requirements (NFRs) such as usability and secure encryption are intact during user workflows.</w:t>
      </w:r>
    </w:p>
    <w:p>
      <w:pPr>
        <w:pStyle w:val="ListBullet"/>
      </w:pPr>
      <w:r>
        <w:t>Identify and log critical defects in core paths (e.g., checkout failures, auth bypasses) before production release.</w:t>
      </w:r>
    </w:p>
    <w:p>
      <w:pPr>
        <w:pStyle w:val="ListBullet"/>
      </w:pPr>
      <w:r>
        <w:t>Verify tailored UI/UX elements, including prominent book covers, bold title formatting, and interactive modals.</w:t>
      </w:r>
    </w:p>
    <w:p>
      <w:pPr>
        <w:pStyle w:val="Heading1"/>
      </w:pPr>
      <w:r>
        <w:rPr>
          <w:rFonts w:ascii="Calibri" w:hAnsi="Calibri"/>
          <w:b/>
          <w:color w:val="1B365D"/>
        </w:rPr>
        <w:t>4.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Supported Browsers &amp; OS</w:t>
            </w:r>
          </w:p>
        </w:tc>
      </w:tr>
      <w:tr>
        <w:tc>
          <w:tcPr>
            <w:tcW w:type="dxa" w:w="4680"/>
          </w:tcPr>
          <w:p>
            <w:r>
              <w:t>Desktop (Windows 11 / macOS)</w:t>
            </w:r>
          </w:p>
        </w:tc>
        <w:tc>
          <w:tcPr>
            <w:tcW w:type="dxa" w:w="4680"/>
          </w:tcPr>
          <w:p>
            <w:r>
              <w:t>Google Chrome (Latest), Mozilla Firefox (Latest)</w:t>
            </w:r>
          </w:p>
        </w:tc>
      </w:tr>
      <w:tr>
        <w:tc>
          <w:tcPr>
            <w:tcW w:type="dxa" w:w="4680"/>
          </w:tcPr>
          <w:p>
            <w:r>
              <w:t>Mobile (Android / iOS)</w:t>
            </w:r>
          </w:p>
        </w:tc>
        <w:tc>
          <w:tcPr>
            <w:tcW w:type="dxa" w:w="4680"/>
          </w:tcPr>
          <w:p>
            <w:r>
              <w:t>Google Chrome (Android), Safari (iOS)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1B365D"/>
        </w:rPr>
        <w:t>5. Testing Types</w:t>
      </w:r>
    </w:p>
    <w:p>
      <w:pPr>
        <w:pStyle w:val="ListBullet"/>
      </w:pPr>
      <w:r>
        <w:rPr>
          <w:b/>
        </w:rPr>
        <w:t xml:space="preserve">Smoke Testing: </w:t>
      </w:r>
      <w:r>
        <w:t>Executed on initial builds to verify critical functionalities (e.g., Login, Add to Cart, Checkout) are not fundamentally broken.</w:t>
      </w:r>
    </w:p>
    <w:p>
      <w:pPr>
        <w:pStyle w:val="ListBullet"/>
      </w:pPr>
      <w:r>
        <w:rPr>
          <w:b/>
        </w:rPr>
        <w:t xml:space="preserve">Functional Testing: </w:t>
      </w:r>
      <w:r>
        <w:t>Comprehensive testing of all FRs against the defined user stories and expected behaviors.</w:t>
      </w:r>
    </w:p>
    <w:p>
      <w:pPr>
        <w:pStyle w:val="ListBullet"/>
      </w:pPr>
      <w:r>
        <w:rPr>
          <w:b/>
        </w:rPr>
        <w:t xml:space="preserve">Negative Testing: </w:t>
      </w:r>
      <w:r>
        <w:t>Inputting invalid data (e.g., wrong passwords, unsupported file types in the Author Portal) to ensure the system handles errors gracefully.</w:t>
      </w:r>
    </w:p>
    <w:p>
      <w:pPr>
        <w:pStyle w:val="ListBullet"/>
      </w:pPr>
      <w:r>
        <w:rPr>
          <w:b/>
        </w:rPr>
        <w:t xml:space="preserve">Regression Testing: </w:t>
      </w:r>
      <w:r>
        <w:t>Re-executing test cases after code changes to ensure existing features (e.g., Wishlist persistence) remain unaffected.</w:t>
      </w:r>
    </w:p>
    <w:p>
      <w:pPr>
        <w:pStyle w:val="ListBullet"/>
      </w:pPr>
      <w:r>
        <w:rPr>
          <w:b/>
        </w:rPr>
        <w:t xml:space="preserve">Automation Candidates: </w:t>
      </w:r>
      <w:r>
        <w:t>Identifying repetitive, high-value test cases (e.g., login flows, basic search queries) for future automation implementation.</w:t>
      </w:r>
    </w:p>
    <w:p>
      <w:pPr>
        <w:pStyle w:val="Heading1"/>
      </w:pPr>
      <w:r>
        <w:rPr>
          <w:rFonts w:ascii="Calibri" w:hAnsi="Calibri"/>
          <w:b/>
          <w:color w:val="1B365D"/>
        </w:rPr>
        <w:t>6. Entry and Exit Criteria</w:t>
      </w:r>
    </w:p>
    <w:p>
      <w:pPr>
        <w:pStyle w:val="Heading2"/>
      </w:pPr>
      <w:r>
        <w:rPr>
          <w:rFonts w:ascii="Calibri" w:hAnsi="Calibri"/>
          <w:b/>
          <w:color w:val="3B5998"/>
        </w:rPr>
        <w:t>Entry Criteria:</w:t>
      </w:r>
    </w:p>
    <w:p>
      <w:pPr>
        <w:pStyle w:val="ListBullet"/>
      </w:pPr>
      <w:r>
        <w:t>Test environment is successfully set up and accessible.</w:t>
      </w:r>
    </w:p>
    <w:p>
      <w:pPr>
        <w:pStyle w:val="ListBullet"/>
      </w:pPr>
      <w:r>
        <w:t>Test cases are documented, reviewed, and approved.</w:t>
      </w:r>
    </w:p>
    <w:p>
      <w:pPr>
        <w:pStyle w:val="ListBullet"/>
      </w:pPr>
      <w:r>
        <w:t>A stable software build has been deployed to the QA environment.</w:t>
      </w:r>
    </w:p>
    <w:p>
      <w:pPr>
        <w:pStyle w:val="Heading2"/>
      </w:pPr>
      <w:r>
        <w:rPr>
          <w:rFonts w:ascii="Calibri" w:hAnsi="Calibri"/>
          <w:b/>
          <w:color w:val="3B5998"/>
        </w:rPr>
        <w:t>Exit Criteria:</w:t>
      </w:r>
    </w:p>
    <w:p>
      <w:pPr>
        <w:pStyle w:val="ListBullet"/>
      </w:pPr>
      <w:r>
        <w:t>100% of planned test cases have been executed.</w:t>
      </w:r>
    </w:p>
    <w:p>
      <w:pPr>
        <w:pStyle w:val="ListBullet"/>
      </w:pPr>
      <w:r>
        <w:t>No high-severity or 'Blocker' defects remain open.</w:t>
      </w:r>
    </w:p>
    <w:p>
      <w:pPr>
        <w:pStyle w:val="ListBullet"/>
      </w:pPr>
      <w:r>
        <w:t>Test Execution Report is generated and signed off.</w:t>
      </w:r>
    </w:p>
    <w:p>
      <w:pPr>
        <w:pStyle w:val="Heading1"/>
      </w:pPr>
      <w:r>
        <w:rPr>
          <w:rFonts w:ascii="Calibri" w:hAnsi="Calibri"/>
          <w:b/>
          <w:color w:val="1B365D"/>
        </w:rPr>
        <w:t>7. Risks and Assumptions</w:t>
      </w:r>
    </w:p>
    <w:p>
      <w:pPr>
        <w:pStyle w:val="Heading2"/>
      </w:pPr>
      <w:r>
        <w:rPr>
          <w:rFonts w:ascii="Calibri" w:hAnsi="Calibri"/>
          <w:b/>
          <w:color w:val="3B5998"/>
        </w:rPr>
        <w:t>Risks:</w:t>
      </w:r>
    </w:p>
    <w:p>
      <w:pPr>
        <w:pStyle w:val="ListBullet"/>
      </w:pPr>
      <w:r>
        <w:t>Third-party payment gateway sandbox environments may experience downtime, blocking checkout testing.</w:t>
      </w:r>
    </w:p>
    <w:p>
      <w:pPr>
        <w:pStyle w:val="ListBullet"/>
      </w:pPr>
      <w:r>
        <w:t>CDN caching delays may interfere with validating the performance of prominent book cover thumbnails.</w:t>
      </w:r>
    </w:p>
    <w:p>
      <w:pPr>
        <w:pStyle w:val="Heading2"/>
      </w:pPr>
      <w:r>
        <w:rPr>
          <w:rFonts w:ascii="Calibri" w:hAnsi="Calibri"/>
          <w:b/>
          <w:color w:val="3B5998"/>
        </w:rPr>
        <w:t>Assumptions:</w:t>
      </w:r>
    </w:p>
    <w:p>
      <w:pPr>
        <w:pStyle w:val="ListBullet"/>
      </w:pPr>
      <w:r>
        <w:t>The QA team will have unrestricted access to the staging database to verify user registration and cart states.</w:t>
      </w:r>
    </w:p>
    <w:p>
      <w:pPr>
        <w:pStyle w:val="ListBullet"/>
      </w:pPr>
      <w:r>
        <w:t>Mock data (e.g., dummy children's books, valid PDF manuscript files) will be provided prior to testing.</w:t>
      </w:r>
    </w:p>
    <w:p>
      <w:pPr>
        <w:pStyle w:val="Heading1"/>
      </w:pPr>
      <w:r>
        <w:rPr>
          <w:rFonts w:ascii="Calibri" w:hAnsi="Calibri"/>
          <w:b/>
          <w:color w:val="1B365D"/>
        </w:rPr>
        <w:t>8. Test Deliverables</w:t>
      </w:r>
    </w:p>
    <w:p>
      <w:r>
        <w:t>The following artifacts will be submitted via the final GitHub repository link upon completion of the QA cycle:</w:t>
      </w:r>
    </w:p>
    <w:p>
      <w:pPr>
        <w:pStyle w:val="ListBullet"/>
      </w:pPr>
      <w:r>
        <w:t>Test_Plan_Online_Bookstore.docx (This Document)</w:t>
      </w:r>
    </w:p>
    <w:p>
      <w:pPr>
        <w:pStyle w:val="ListBullet"/>
      </w:pPr>
      <w:r>
        <w:t>Test_Cases_Online_Bookstore.csv (Exported from Testworthy)</w:t>
      </w:r>
    </w:p>
    <w:p>
      <w:pPr>
        <w:pStyle w:val="ListBullet"/>
      </w:pPr>
      <w:r>
        <w:t>Test_Run_Report_Online_Bookstore.pdf (Generated via Testworthy)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