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Empresa: Nova Rent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990" w:tblpY="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80"/>
        <w:gridCol w:w="1740"/>
        <w:gridCol w:w="2865"/>
        <w:tblGridChange w:id="0">
          <w:tblGrid>
            <w:gridCol w:w="5880"/>
            <w:gridCol w:w="1740"/>
            <w:gridCol w:w="2865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Equipo (7):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Luis Enrique Almaguer Castillo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Matrícula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2143523</w:t>
            </w:r>
          </w:p>
        </w:tc>
      </w:tr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curso: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COMPONENTES DE LÓGICA DE NEGOCIOS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profesor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Miguel Ángel Gómez Marroquín</w:t>
            </w:r>
          </w:p>
        </w:tc>
      </w:tr>
      <w:tr>
        <w:trPr>
          <w:cantSplit w:val="0"/>
          <w:trHeight w:val="121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 Netacad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ACT-F03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DISEÑO ARQUITECTURAL DEL SISTEMA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17/10/2026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Bibliografía (Formato APA)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Realizar la arquitectura del software inicial del negocio a partir de lo realizado en la Actividad Fundamental anterior. Definiendo los patrones, generando el mapa de dominio, la service layer y los diagramas 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ab/>
        <w:t xml:space="preserve">ETAPA 1</w:t>
      </w:r>
    </w:p>
    <w:p w:rsidR="00000000" w:rsidDel="00000000" w:rsidP="00000000" w:rsidRDefault="00000000" w:rsidRPr="00000000" w14:paraId="0000003F">
      <w:pPr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Resumen del proceso inicial 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NovaRent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 rentas de automóviles por día, el cliente reserva una categoría en específico y se le asigna una entrega en una de las sucursales. El proceso principal sigue una reservación inicial con control de inventario por categoría, entrega con validación de requisitos y un checklist inicial de las condiciones actuales del vehículo, extensión de renta cuando el vehículo no esté comprometido con otra reservación y devolución con cálculo automático de cargos extras. Queda fuera el diseño de limpieza y los reportes administrativos.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Casos de uso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911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"/>
        <w:gridCol w:w="2508"/>
        <w:gridCol w:w="1560"/>
        <w:gridCol w:w="1950"/>
        <w:gridCol w:w="3525"/>
        <w:tblGridChange w:id="0">
          <w:tblGrid>
            <w:gridCol w:w="912"/>
            <w:gridCol w:w="2508"/>
            <w:gridCol w:w="1560"/>
            <w:gridCol w:w="1950"/>
            <w:gridCol w:w="3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relacionadas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CU-01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Confirmar reservación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BR-02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Permitir que el cliente pueda apartar un vehículo de cierta categoría en una sucursal y fecha específica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Entregar vehiculo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Agente de renta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RN-02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Entregar el vehículo solo si se cumplen todos los requisitos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Extender renta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RN-03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Ampliar el periodo de renta activo del cliente.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Devolver vehículo y calcular cargos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Agente de renta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BR-03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Poder comparar el estado inicial contra el estado final y cobrar los cargos extra.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CU-05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Asignar categoría superior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Agente de renta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RN-01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Resolver falta de unidades cambiando la categoría por una superior sin costo extra.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1"/>
          <w:szCs w:val="21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13.999999999998" w:type="dxa"/>
        <w:jc w:val="left"/>
        <w:tblInd w:w="-911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3150"/>
        <w:gridCol w:w="3000"/>
        <w:gridCol w:w="3248.9999999999986"/>
        <w:tblGridChange w:id="0">
          <w:tblGrid>
            <w:gridCol w:w="915"/>
            <w:gridCol w:w="3150"/>
            <w:gridCol w:w="3000"/>
            <w:gridCol w:w="3248.9999999999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normal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alterno / Rechazo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CU-01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Ciudad, sucursal, fechas de inicio y fin, categoría y datos del cliente.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Se genera un folio y comprobante con la categoría garantizada, y se descuenta un lugar del inventario lógico.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se genera un folio al no haber inventario en esa categoría en esa fecha en específico.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Folio, identificación oficial, licencia vigente, método de pago y depósito y checklist inicial (kilometraje, nivel de combustible, estado inicial, firma.)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Se crea la renta, se asigna el vehículo y pasa a estar en estado “rentado”.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 se proporciona alguno de los valores de entrada (pago, licencia, etc.) por lo que se deniega la renta.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ID de renta y nueva fecha de devolución.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Se autoriza y se actualiza el periodo de renta.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 vehículo ya está comprometido con otra reservación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ID de renta, fecha de retorno y checklist final (kilometraje, nivel de combustible, estado final)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Se registra el estado final del vehículo, se calculan los cargos y el vehículo pasa a estado “revisión” o “limpieza”.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Retraso, exceso de km o combustible faltante generan un cobro extra.</w:t>
            </w:r>
          </w:p>
        </w:tc>
      </w:tr>
      <w:tr>
        <w:trPr>
          <w:cantSplit w:val="0"/>
          <w:trHeight w:val="1367.9179687500027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CU-05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Folio original, categoría reservada, categoría superior.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Se asigna un vehículo con una categoría superior.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 Cliente no quiere una mejor categoría, por lo tanto se le reembolsa o da un descuento a futuro.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ETAPA 2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Patrón de lógica de negocio</w:t>
      </w:r>
      <w:r w:rsidDel="00000000" w:rsidR="00000000" w:rsidRPr="00000000">
        <w:rPr>
          <w:rtl w:val="0"/>
        </w:rPr>
      </w:r>
    </w:p>
    <w:tbl>
      <w:tblPr>
        <w:tblStyle w:val="Table4"/>
        <w:tblW w:w="11610.0" w:type="dxa"/>
        <w:jc w:val="left"/>
        <w:tblInd w:w="-152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9"/>
        <w:gridCol w:w="2571"/>
        <w:gridCol w:w="2415"/>
        <w:gridCol w:w="2535"/>
        <w:gridCol w:w="2700"/>
        <w:tblGridChange w:id="0">
          <w:tblGrid>
            <w:gridCol w:w="1389"/>
            <w:gridCol w:w="2571"/>
            <w:gridCol w:w="2415"/>
            <w:gridCol w:w="2535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del caso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Transaction Script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Table Module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Domain model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 U2</w:t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Complejidad de reglas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Ventaja: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Cada caso de uso es lineal y fácil de leer.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Riesgo: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Ciertas reglas quedan dentro de cada procedimiento y si estos comparten una condición puede llegar a copiarse.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Consecuencia: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Código crece por cada caso de uso, no por regla.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Cambios esperados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Interacción entre conceptos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864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Estados e invariantes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0000000000082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Criterio adicional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80" w:lineRule="auto"/>
        <w:rPr>
          <w:rFonts w:ascii="Arial" w:cs="Arial" w:eastAsia="Arial" w:hAnsi="Arial"/>
          <w:b w:val="1"/>
          <w:bCs w:val="1"/>
          <w:sz w:val="28"/>
          <w:szCs w:val="28"/>
          <w:shd w:fill="60606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Bitácora obligatoria de IA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606060" w:val="clear"/>
          <w:rtl w:val="0"/>
        </w:rPr>
        <w:t xml:space="preserve"> </w:t>
      </w:r>
    </w:p>
    <w:tbl>
      <w:tblPr>
        <w:tblStyle w:val="Table5"/>
        <w:tblW w:w="9345.0" w:type="dxa"/>
        <w:jc w:val="left"/>
        <w:tblInd w:w="-78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05"/>
        <w:gridCol w:w="1290"/>
        <w:gridCol w:w="1680"/>
        <w:gridCol w:w="1545"/>
        <w:gridCol w:w="1545"/>
        <w:gridCol w:w="1680"/>
        <w:tblGridChange w:id="0">
          <w:tblGrid>
            <w:gridCol w:w="1605"/>
            <w:gridCol w:w="1290"/>
            <w:gridCol w:w="1680"/>
            <w:gridCol w:w="1545"/>
            <w:gridCol w:w="1545"/>
            <w:gridCol w:w="16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8a33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Iteración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8a33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8a33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Prompt o enlace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8a33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Respuesta útil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8a33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Error o supuesto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8a33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Decisión del equipo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df4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505.0" w:type="dxa"/>
      <w:jc w:val="left"/>
      <w:tblLayout w:type="fixed"/>
      <w:tblLook w:val="0400"/>
    </w:tblPr>
    <w:tblGrid>
      <w:gridCol w:w="2835"/>
      <w:gridCol w:w="2835"/>
      <w:gridCol w:w="2835"/>
      <w:tblGridChange w:id="0">
        <w:tblGrid>
          <w:gridCol w:w="2835"/>
          <w:gridCol w:w="2835"/>
          <w:gridCol w:w="28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03142" cy="398505"/>
          <wp:effectExtent b="0" l="0" r="0" t="0"/>
          <wp:docPr descr="A picture containing icon&#10;&#10;Description automatically generated" id="2" name="image1.png"/>
          <a:graphic>
            <a:graphicData uri="http://schemas.openxmlformats.org/drawingml/2006/picture">
              <pic:pic>
                <pic:nvPicPr>
                  <pic:cNvPr descr="A picture containing icon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062967" cy="503874"/>
          <wp:effectExtent b="0" l="0" r="0" t="0"/>
          <wp:docPr descr="Logo&#10;&#10;Description automatically generated" id="1" name="image3.png"/>
          <a:graphic>
            <a:graphicData uri="http://schemas.openxmlformats.org/drawingml/2006/picture">
              <pic:pic>
                <pic:nvPicPr>
                  <pic:cNvPr descr="Logo&#10;&#10;Description automatically generated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878332" cy="497721"/>
          <wp:effectExtent b="0" l="0" r="0" t="0"/>
          <wp:docPr descr="Logo&#10;&#10;Description automatically generated" id="3" name="image2.png"/>
          <a:graphic>
            <a:graphicData uri="http://schemas.openxmlformats.org/drawingml/2006/picture">
              <pic:pic>
                <pic:nvPicPr>
                  <pic:cNvPr descr="Logo&#10;&#10;Description automatically generated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Reporte</w:t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Quattrocento Sans" w:cs="Quattrocento Sans" w:eastAsia="Quattrocento Sans" w:hAnsi="Quattrocento Sans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Quattrocento Sans" w:cs="Quattrocento Sans" w:eastAsia="Quattrocento Sans" w:hAnsi="Quattrocento Sans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Quattrocento Sans" w:cs="Quattrocento Sans" w:eastAsia="Quattrocento Sans" w:hAnsi="Quattrocento Sans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Quattrocento Sans" w:cs="Quattrocento Sans" w:eastAsia="Quattrocento Sans" w:hAnsi="Quattrocento Sans"/>
      <w:color w:val="44546a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