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C61" w:rsidRDefault="00E041A8">
      <w:pPr>
        <w:spacing w:after="7" w:line="266" w:lineRule="auto"/>
        <w:ind w:left="-5" w:right="597" w:hanging="10"/>
      </w:pPr>
      <w:r>
        <w:rPr>
          <w:rFonts w:ascii="Times New Roman" w:eastAsia="Times New Roman" w:hAnsi="Times New Roman" w:cs="Times New Roman"/>
        </w:rPr>
        <w:t xml:space="preserve">Aufgabe 1: Wiederholung der Peptidbindung in Proteinen. </w:t>
      </w:r>
    </w:p>
    <w:p w:rsidR="00BE1C61" w:rsidRDefault="00E041A8">
      <w:pPr>
        <w:spacing w:after="7" w:line="266" w:lineRule="auto"/>
        <w:ind w:left="-5" w:right="597" w:hanging="10"/>
      </w:pPr>
      <w:r>
        <w:rPr>
          <w:rFonts w:ascii="Times New Roman" w:eastAsia="Times New Roman" w:hAnsi="Times New Roman" w:cs="Times New Roman"/>
        </w:rPr>
        <w:t xml:space="preserve">Schaut euch dazu die Abbildung an, lest den Text und besprecht dann in der Gruppe folgende Fragen. </w:t>
      </w:r>
    </w:p>
    <w:p w:rsidR="00BE1C61" w:rsidRDefault="00E041A8">
      <w:pPr>
        <w:spacing w:after="187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numPr>
          <w:ilvl w:val="0"/>
          <w:numId w:val="1"/>
        </w:numPr>
        <w:spacing w:after="7" w:line="266" w:lineRule="auto"/>
        <w:ind w:right="679" w:hanging="360"/>
      </w:pPr>
      <w:r>
        <w:rPr>
          <w:rFonts w:ascii="Times New Roman" w:eastAsia="Times New Roman" w:hAnsi="Times New Roman" w:cs="Times New Roman"/>
        </w:rPr>
        <w:t xml:space="preserve">Welche beiden Gruppen einer Aminosäure sind an der Peptidbindung beteiligt? </w:t>
      </w:r>
    </w:p>
    <w:p w:rsidR="00BE1C61" w:rsidRDefault="00F8467C" w:rsidP="00F8467C">
      <w:pPr>
        <w:spacing w:after="12"/>
        <w:ind w:left="705"/>
      </w:pPr>
      <w:r>
        <w:rPr>
          <w:rFonts w:ascii="Times New Roman" w:eastAsia="Times New Roman" w:hAnsi="Times New Roman" w:cs="Times New Roman"/>
        </w:rPr>
        <w:t xml:space="preserve">Aminogruppe, </w:t>
      </w:r>
      <w:r w:rsidR="00EA5BA6">
        <w:rPr>
          <w:rFonts w:ascii="Times New Roman" w:eastAsia="Times New Roman" w:hAnsi="Times New Roman" w:cs="Times New Roman"/>
        </w:rPr>
        <w:t>Carboxyl</w:t>
      </w:r>
      <w:r>
        <w:rPr>
          <w:rFonts w:ascii="Times New Roman" w:eastAsia="Times New Roman" w:hAnsi="Times New Roman" w:cs="Times New Roman"/>
        </w:rPr>
        <w:t>gruppe</w:t>
      </w:r>
    </w:p>
    <w:p w:rsidR="00BE1C61" w:rsidRDefault="00E041A8">
      <w:pPr>
        <w:spacing w:after="29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numPr>
          <w:ilvl w:val="0"/>
          <w:numId w:val="1"/>
        </w:numPr>
        <w:spacing w:after="7" w:line="266" w:lineRule="auto"/>
        <w:ind w:right="679" w:hanging="360"/>
      </w:pPr>
      <w:r>
        <w:rPr>
          <w:rFonts w:ascii="Times New Roman" w:eastAsia="Times New Roman" w:hAnsi="Times New Roman" w:cs="Times New Roman"/>
        </w:rPr>
        <w:t xml:space="preserve">Was versteht man unter einer Kondensationsreaktion? Welches Produkt ist charakteristisch für die Kondensationsreaktion? </w:t>
      </w:r>
    </w:p>
    <w:p w:rsidR="00BE1C61" w:rsidRDefault="00EA5BA6" w:rsidP="00F8467C">
      <w:pPr>
        <w:spacing w:after="12"/>
        <w:ind w:left="705"/>
      </w:pPr>
      <w:r>
        <w:rPr>
          <w:rFonts w:ascii="Times New Roman" w:eastAsia="Times New Roman" w:hAnsi="Times New Roman" w:cs="Times New Roman"/>
        </w:rPr>
        <w:t>Ist eine Reaktio</w:t>
      </w:r>
      <w:r w:rsidR="005B4088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bei der zwei oder mehr </w:t>
      </w:r>
      <w:r w:rsidR="005B4088">
        <w:rPr>
          <w:rFonts w:ascii="Times New Roman" w:eastAsia="Times New Roman" w:hAnsi="Times New Roman" w:cs="Times New Roman"/>
        </w:rPr>
        <w:t xml:space="preserve">Moleküle reagieren, wobei </w:t>
      </w:r>
      <w:r w:rsidR="00F8467C">
        <w:rPr>
          <w:rFonts w:ascii="Times New Roman" w:eastAsia="Times New Roman" w:hAnsi="Times New Roman" w:cs="Times New Roman"/>
        </w:rPr>
        <w:t>H²</w:t>
      </w:r>
      <w:proofErr w:type="gramStart"/>
      <w:r w:rsidR="00F8467C">
        <w:rPr>
          <w:rFonts w:ascii="Times New Roman" w:eastAsia="Times New Roman" w:hAnsi="Times New Roman" w:cs="Times New Roman"/>
        </w:rPr>
        <w:t>O  abgespalten</w:t>
      </w:r>
      <w:proofErr w:type="gramEnd"/>
      <w:r w:rsidR="005B4088">
        <w:rPr>
          <w:rFonts w:ascii="Times New Roman" w:eastAsia="Times New Roman" w:hAnsi="Times New Roman" w:cs="Times New Roman"/>
        </w:rPr>
        <w:t xml:space="preserve"> wird</w:t>
      </w:r>
    </w:p>
    <w:p w:rsidR="00BE1C61" w:rsidRDefault="00E041A8">
      <w:pPr>
        <w:spacing w:after="29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F8467C" w:rsidRDefault="00E041A8" w:rsidP="00F8467C">
      <w:pPr>
        <w:numPr>
          <w:ilvl w:val="0"/>
          <w:numId w:val="1"/>
        </w:numPr>
        <w:spacing w:after="7" w:line="266" w:lineRule="auto"/>
        <w:ind w:right="679" w:hanging="360"/>
      </w:pPr>
      <w:r>
        <w:rPr>
          <w:rFonts w:ascii="Times New Roman" w:eastAsia="Times New Roman" w:hAnsi="Times New Roman" w:cs="Times New Roman"/>
        </w:rPr>
        <w:t xml:space="preserve">Wie nennt man ein Peptid aus drei Aminosäuren, </w:t>
      </w:r>
      <w:r>
        <w:rPr>
          <w:rFonts w:ascii="Times New Roman" w:eastAsia="Times New Roman" w:hAnsi="Times New Roman" w:cs="Times New Roman"/>
        </w:rPr>
        <w:t xml:space="preserve">1-10 Aminosäuren und aus mehr als 10 Aminosäuren? </w:t>
      </w:r>
    </w:p>
    <w:p w:rsidR="00BE1C61" w:rsidRDefault="005B4088" w:rsidP="00F8467C">
      <w:pPr>
        <w:spacing w:after="14"/>
        <w:ind w:left="705"/>
      </w:pPr>
      <w:r>
        <w:rPr>
          <w:rFonts w:ascii="Times New Roman" w:eastAsia="Times New Roman" w:hAnsi="Times New Roman" w:cs="Times New Roman"/>
        </w:rPr>
        <w:t xml:space="preserve">Tripeptid, </w:t>
      </w:r>
      <w:r w:rsidR="00F8467C">
        <w:rPr>
          <w:rFonts w:ascii="Times New Roman" w:eastAsia="Times New Roman" w:hAnsi="Times New Roman" w:cs="Times New Roman"/>
        </w:rPr>
        <w:t>Oligopeptide und Polypeptide</w:t>
      </w:r>
    </w:p>
    <w:p w:rsidR="00BE1C61" w:rsidRDefault="00E041A8">
      <w:pPr>
        <w:spacing w:after="12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29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numPr>
          <w:ilvl w:val="0"/>
          <w:numId w:val="1"/>
        </w:numPr>
        <w:spacing w:after="7" w:line="266" w:lineRule="auto"/>
        <w:ind w:right="679" w:hanging="360"/>
      </w:pPr>
      <w:r>
        <w:rPr>
          <w:rFonts w:ascii="Times New Roman" w:eastAsia="Times New Roman" w:hAnsi="Times New Roman" w:cs="Times New Roman"/>
        </w:rPr>
        <w:t>Zucker und Proteine überne</w:t>
      </w:r>
      <w:r>
        <w:rPr>
          <w:rFonts w:ascii="Times New Roman" w:eastAsia="Times New Roman" w:hAnsi="Times New Roman" w:cs="Times New Roman"/>
        </w:rPr>
        <w:t xml:space="preserve">hmen im menschlichen Körper oder auch in Pflanzen völlig unterschiedliche Aufgaben. Dennoch findet man in vielen strukturellen Merkmalen einige Gemeinsamkeiten. </w:t>
      </w:r>
    </w:p>
    <w:p w:rsidR="00BE1C61" w:rsidRDefault="00E041A8">
      <w:pPr>
        <w:spacing w:after="7" w:line="266" w:lineRule="auto"/>
        <w:ind w:left="720" w:right="679"/>
      </w:pPr>
      <w:r>
        <w:rPr>
          <w:rFonts w:ascii="Times New Roman" w:eastAsia="Times New Roman" w:hAnsi="Times New Roman" w:cs="Times New Roman"/>
        </w:rPr>
        <w:t>Nenne vier strukturelle Gemeinsamkeiten zwischen den Zuckern und den Proteinen und nenne ein g</w:t>
      </w:r>
      <w:r>
        <w:rPr>
          <w:rFonts w:ascii="Times New Roman" w:eastAsia="Times New Roman" w:hAnsi="Times New Roman" w:cs="Times New Roman"/>
        </w:rPr>
        <w:t xml:space="preserve">eeignetes Beispiel.  </w:t>
      </w:r>
    </w:p>
    <w:p w:rsidR="00BE1C61" w:rsidRDefault="00E041A8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340" w:type="dxa"/>
        <w:tblInd w:w="72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3"/>
        <w:gridCol w:w="3826"/>
        <w:gridCol w:w="3821"/>
      </w:tblGrid>
      <w:tr w:rsidR="00BE1C61" w:rsidTr="005B4088">
        <w:trPr>
          <w:trHeight w:val="278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Proteine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Zucker </w:t>
            </w:r>
          </w:p>
        </w:tc>
      </w:tr>
      <w:tr w:rsidR="00BE1C61" w:rsidTr="005B4088">
        <w:trPr>
          <w:trHeight w:val="547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B4088">
              <w:rPr>
                <w:rFonts w:ascii="Times New Roman" w:eastAsia="Times New Roman" w:hAnsi="Times New Roman" w:cs="Times New Roman"/>
              </w:rPr>
              <w:t>Können p</w:t>
            </w:r>
            <w:r w:rsidR="00312CEB">
              <w:rPr>
                <w:rFonts w:ascii="Times New Roman" w:eastAsia="Times New Roman" w:hAnsi="Times New Roman" w:cs="Times New Roman"/>
              </w:rPr>
              <w:t>olar</w:t>
            </w:r>
            <w:r w:rsidR="005B4088">
              <w:rPr>
                <w:rFonts w:ascii="Times New Roman" w:eastAsia="Times New Roman" w:hAnsi="Times New Roman" w:cs="Times New Roman"/>
              </w:rPr>
              <w:t>e Gruppe haben</w:t>
            </w:r>
          </w:p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C61" w:rsidRDefault="00312C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Polar</w:t>
            </w:r>
          </w:p>
        </w:tc>
      </w:tr>
      <w:tr w:rsidR="00BE1C61" w:rsidTr="005B4088">
        <w:trPr>
          <w:trHeight w:val="547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C61" w:rsidRDefault="00312CE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Kohlenstoffketten</w:t>
            </w:r>
          </w:p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12CEB">
              <w:rPr>
                <w:rFonts w:ascii="Times New Roman" w:eastAsia="Times New Roman" w:hAnsi="Times New Roman" w:cs="Times New Roman"/>
              </w:rPr>
              <w:t>Kohlenstoffketten</w:t>
            </w:r>
          </w:p>
        </w:tc>
      </w:tr>
      <w:tr w:rsidR="00BE1C61" w:rsidTr="005B4088">
        <w:trPr>
          <w:trHeight w:val="547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B4088">
              <w:rPr>
                <w:rFonts w:ascii="Times New Roman" w:eastAsia="Times New Roman" w:hAnsi="Times New Roman" w:cs="Times New Roman"/>
              </w:rPr>
              <w:t>Organische Stoffe, die Polymere aus Monomeren bilden</w:t>
            </w:r>
          </w:p>
          <w:p w:rsidR="00BE1C61" w:rsidRDefault="00E041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088" w:rsidRDefault="00E041A8" w:rsidP="005B408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B4088">
              <w:rPr>
                <w:rFonts w:ascii="Times New Roman" w:eastAsia="Times New Roman" w:hAnsi="Times New Roman" w:cs="Times New Roman"/>
              </w:rPr>
              <w:t>Organische Stoffe</w:t>
            </w:r>
          </w:p>
          <w:p w:rsidR="00BE1C61" w:rsidRDefault="00BE1C61">
            <w:pPr>
              <w:spacing w:after="0"/>
            </w:pPr>
          </w:p>
        </w:tc>
      </w:tr>
      <w:tr w:rsidR="005B4088" w:rsidTr="005B4088">
        <w:trPr>
          <w:trHeight w:val="547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088" w:rsidRDefault="005B4088" w:rsidP="005B408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088" w:rsidRDefault="005B4088" w:rsidP="005B4088">
            <w:pPr>
              <w:spacing w:after="0"/>
            </w:pPr>
            <w:r>
              <w:t>Peptidbindung zw. Monomeren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088" w:rsidRDefault="005B4088" w:rsidP="005B4088">
            <w:pPr>
              <w:spacing w:after="0"/>
            </w:pPr>
            <w:r>
              <w:t>Peptidbindung zw. Monomeren</w:t>
            </w:r>
          </w:p>
        </w:tc>
      </w:tr>
    </w:tbl>
    <w:p w:rsidR="00BE1C61" w:rsidRDefault="00BE1C61">
      <w:pPr>
        <w:spacing w:after="132"/>
        <w:ind w:left="720"/>
      </w:pPr>
    </w:p>
    <w:p w:rsidR="00BE1C61" w:rsidRDefault="00E041A8">
      <w:pPr>
        <w:spacing w:after="0"/>
        <w:ind w:right="984"/>
        <w:jc w:val="right"/>
      </w:pPr>
      <w:r>
        <w:rPr>
          <w:noProof/>
        </w:rPr>
        <w:drawing>
          <wp:inline distT="0" distB="0" distL="0" distR="0">
            <wp:extent cx="5554981" cy="3168396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981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115"/>
        <w:jc w:val="right"/>
      </w:pPr>
      <w:r>
        <w:rPr>
          <w:noProof/>
        </w:rPr>
        <w:lastRenderedPageBreak/>
        <w:drawing>
          <wp:inline distT="0" distB="0" distL="0" distR="0">
            <wp:extent cx="6202681" cy="7149084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681" cy="71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BE1C61" w:rsidRDefault="00E041A8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Vertiefung zur Peptidbindung: Warum ist die Peptidbindung nicht frei drehbar?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E1C61" w:rsidRDefault="00E041A8">
      <w:pPr>
        <w:spacing w:after="165" w:line="266" w:lineRule="auto"/>
        <w:ind w:right="679"/>
      </w:pPr>
      <w:r>
        <w:rPr>
          <w:rFonts w:ascii="Times New Roman" w:eastAsia="Times New Roman" w:hAnsi="Times New Roman" w:cs="Times New Roman"/>
        </w:rPr>
        <w:t xml:space="preserve">Schaut man sich in der neu gebildeten Peptidgruppe die Einfachbindung zwischen dem </w:t>
      </w:r>
      <w:proofErr w:type="spellStart"/>
      <w:r>
        <w:rPr>
          <w:rFonts w:ascii="Times New Roman" w:eastAsia="Times New Roman" w:hAnsi="Times New Roman" w:cs="Times New Roman"/>
        </w:rPr>
        <w:t>KohlenstoffAtom</w:t>
      </w:r>
      <w:proofErr w:type="spellEnd"/>
      <w:r>
        <w:rPr>
          <w:rFonts w:ascii="Times New Roman" w:eastAsia="Times New Roman" w:hAnsi="Times New Roman" w:cs="Times New Roman"/>
        </w:rPr>
        <w:t xml:space="preserve"> und dem Stickstoff-Atom an, so zeigen röntgenstrukturanalytische Untersuchungen, dass dies Bindung kürzer ist, als eine entsprechende C-N Bindung in Aminen. </w:t>
      </w:r>
      <w:r>
        <w:rPr>
          <w:rFonts w:ascii="Times New Roman" w:eastAsia="Times New Roman" w:hAnsi="Times New Roman" w:cs="Times New Roman"/>
        </w:rPr>
        <w:t xml:space="preserve">Das ist ein wichtiger Hinweis dafür, dass es sich hierbei nicht um eine reguläre Einfachbindung handelt: </w:t>
      </w:r>
    </w:p>
    <w:p w:rsidR="00BE1C61" w:rsidRDefault="00E041A8">
      <w:pPr>
        <w:spacing w:after="194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102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Mesomerie der Peptidbindung - zwei mögliche mesomere Grenzformeln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E1C61" w:rsidRDefault="00E041A8">
      <w:pPr>
        <w:spacing w:after="99"/>
        <w:ind w:right="448"/>
        <w:jc w:val="right"/>
      </w:pPr>
      <w:r>
        <w:rPr>
          <w:noProof/>
        </w:rPr>
        <w:drawing>
          <wp:inline distT="0" distB="0" distL="0" distR="0">
            <wp:extent cx="5911597" cy="2020824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597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E1C61" w:rsidRDefault="00E041A8">
      <w:pPr>
        <w:spacing w:after="137" w:line="262" w:lineRule="auto"/>
        <w:ind w:left="-5" w:right="688" w:hanging="10"/>
      </w:pPr>
      <w:r>
        <w:rPr>
          <w:rFonts w:ascii="Times New Roman" w:eastAsia="Times New Roman" w:hAnsi="Times New Roman" w:cs="Times New Roman"/>
          <w:sz w:val="20"/>
        </w:rPr>
        <w:t xml:space="preserve">Aufgabe 1: Suche und unterstreiche im Text die Begründung dafür, warum es zur </w:t>
      </w:r>
      <w:r>
        <w:rPr>
          <w:rFonts w:ascii="Times New Roman" w:eastAsia="Times New Roman" w:hAnsi="Times New Roman" w:cs="Times New Roman"/>
          <w:sz w:val="20"/>
        </w:rPr>
        <w:t xml:space="preserve">zeitweisen Ausbildung einer Doppelbindung zwischen C und N kommt. </w:t>
      </w:r>
    </w:p>
    <w:p w:rsidR="00BE1C61" w:rsidRDefault="00E041A8">
      <w:pPr>
        <w:spacing w:after="134" w:line="264" w:lineRule="auto"/>
        <w:ind w:left="-5" w:right="678" w:hanging="10"/>
      </w:pPr>
      <w:r>
        <w:rPr>
          <w:rFonts w:ascii="Times New Roman" w:eastAsia="Times New Roman" w:hAnsi="Times New Roman" w:cs="Times New Roman"/>
          <w:sz w:val="20"/>
        </w:rPr>
        <w:t>Die Peptidbindung ist nun aber nicht so einfach, wie sie aussieht. Das stark elektronegative Sauerstoffatom zieht das gemeinsame Elektronenpaar zu sich, wodurch der Kohlenstoff seine Vierbi</w:t>
      </w:r>
      <w:r>
        <w:rPr>
          <w:rFonts w:ascii="Times New Roman" w:eastAsia="Times New Roman" w:hAnsi="Times New Roman" w:cs="Times New Roman"/>
          <w:sz w:val="20"/>
        </w:rPr>
        <w:t xml:space="preserve">ndigkeit einzubüßen riskiert. Dieses entzieht nun wiederum dem benachbarten Stickstoffatom das freie Elektronenpaar. Dadurch entsteht zwischen dem CO- und dem NH-Anteil der Peptidbindung zeitweise eine Doppelbindung. </w:t>
      </w:r>
    </w:p>
    <w:p w:rsidR="00BE1C61" w:rsidRDefault="00E041A8">
      <w:pPr>
        <w:spacing w:after="3" w:line="262" w:lineRule="auto"/>
        <w:ind w:left="-5" w:right="688" w:hanging="10"/>
      </w:pPr>
      <w:r>
        <w:rPr>
          <w:rFonts w:ascii="Times New Roman" w:eastAsia="Times New Roman" w:hAnsi="Times New Roman" w:cs="Times New Roman"/>
          <w:sz w:val="20"/>
        </w:rPr>
        <w:t xml:space="preserve">Aufgabe 2:  </w:t>
      </w:r>
    </w:p>
    <w:p w:rsidR="00BE1C61" w:rsidRDefault="00E041A8">
      <w:pPr>
        <w:spacing w:after="137" w:line="262" w:lineRule="auto"/>
        <w:ind w:left="-5" w:right="688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Finde eine Erklärung, warum die Peptidbindung nicht frei drehbar ist. Und worauf solltest du beim Zeichnen einer Peptidbindung daher unbedingt achten? </w:t>
      </w:r>
    </w:p>
    <w:p w:rsidR="00E041A8" w:rsidRDefault="00E041A8">
      <w:pPr>
        <w:spacing w:after="137" w:line="262" w:lineRule="auto"/>
        <w:ind w:left="-5" w:right="688" w:hanging="10"/>
      </w:pPr>
      <w:r>
        <w:t>Die Bindung ist einem temporären Doppel und Einfachbindung im Wechsel. Das H-Atom am Stickstoff wird nach unten, das O-Atom nach oben verschoben.</w:t>
      </w:r>
      <w:bookmarkStart w:id="0" w:name="_GoBack"/>
      <w:bookmarkEnd w:id="0"/>
    </w:p>
    <w:p w:rsidR="00BE1C61" w:rsidRDefault="00E041A8">
      <w:pPr>
        <w:spacing w:after="1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E1C61" w:rsidRDefault="00E041A8">
      <w:pPr>
        <w:spacing w:after="134" w:line="264" w:lineRule="auto"/>
        <w:ind w:left="-5" w:right="678" w:hanging="10"/>
      </w:pPr>
      <w:r>
        <w:rPr>
          <w:rFonts w:ascii="Times New Roman" w:eastAsia="Times New Roman" w:hAnsi="Times New Roman" w:cs="Times New Roman"/>
          <w:sz w:val="20"/>
        </w:rPr>
        <w:t>Da der tatsächliche Zustand aber ständig zwischen diesen beiden Formen hin und her wechselt, sagt man,</w:t>
      </w:r>
      <w:r>
        <w:rPr>
          <w:rFonts w:ascii="Times New Roman" w:eastAsia="Times New Roman" w:hAnsi="Times New Roman" w:cs="Times New Roman"/>
          <w:sz w:val="20"/>
        </w:rPr>
        <w:t xml:space="preserve"> die Peptidbindung habe einen partiellen Doppelbindungscharakter, was drei Konsequenzen hat: </w:t>
      </w:r>
    </w:p>
    <w:p w:rsidR="00BE1C61" w:rsidRDefault="00E041A8">
      <w:pPr>
        <w:numPr>
          <w:ilvl w:val="0"/>
          <w:numId w:val="2"/>
        </w:numPr>
        <w:spacing w:after="134" w:line="264" w:lineRule="auto"/>
        <w:ind w:right="678" w:hanging="10"/>
      </w:pPr>
      <w:r>
        <w:rPr>
          <w:rFonts w:ascii="Times New Roman" w:eastAsia="Times New Roman" w:hAnsi="Times New Roman" w:cs="Times New Roman"/>
          <w:sz w:val="20"/>
        </w:rPr>
        <w:t xml:space="preserve">Der Abstand zwischen den Atomen (C und N) ist kleiner als bei einer Einfachbindung, aber größer als bei einer richtigen Doppelbindung. </w:t>
      </w:r>
    </w:p>
    <w:p w:rsidR="00BE1C61" w:rsidRDefault="00E041A8">
      <w:pPr>
        <w:numPr>
          <w:ilvl w:val="0"/>
          <w:numId w:val="2"/>
        </w:numPr>
        <w:spacing w:after="134" w:line="264" w:lineRule="auto"/>
        <w:ind w:right="678" w:hanging="10"/>
      </w:pPr>
      <w:r>
        <w:rPr>
          <w:rFonts w:ascii="Times New Roman" w:eastAsia="Times New Roman" w:hAnsi="Times New Roman" w:cs="Times New Roman"/>
          <w:sz w:val="20"/>
        </w:rPr>
        <w:t>Die sonst für normale Einf</w:t>
      </w:r>
      <w:r>
        <w:rPr>
          <w:rFonts w:ascii="Times New Roman" w:eastAsia="Times New Roman" w:hAnsi="Times New Roman" w:cs="Times New Roman"/>
          <w:sz w:val="20"/>
        </w:rPr>
        <w:t xml:space="preserve">achbindungen übliche freie Drehbarkeit geht verloren, was für die </w:t>
      </w:r>
      <w:proofErr w:type="spellStart"/>
      <w:r>
        <w:rPr>
          <w:rFonts w:ascii="Times New Roman" w:eastAsia="Times New Roman" w:hAnsi="Times New Roman" w:cs="Times New Roman"/>
          <w:sz w:val="20"/>
        </w:rPr>
        <w:t>Konformation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der späteren Proteine von großer Bedeutung ist. </w:t>
      </w:r>
    </w:p>
    <w:p w:rsidR="00BE1C61" w:rsidRDefault="00E041A8">
      <w:pPr>
        <w:numPr>
          <w:ilvl w:val="0"/>
          <w:numId w:val="2"/>
        </w:numPr>
        <w:spacing w:after="134" w:line="264" w:lineRule="auto"/>
        <w:ind w:right="678" w:hanging="10"/>
      </w:pPr>
      <w:r>
        <w:rPr>
          <w:rFonts w:ascii="Times New Roman" w:eastAsia="Times New Roman" w:hAnsi="Times New Roman" w:cs="Times New Roman"/>
          <w:sz w:val="20"/>
        </w:rPr>
        <w:t>Die Peptidbindung ist eine planare Bindung, d.h. die beteiligten Atome (-CO-NH-) liegen in einer Ebene, und zwar in trans-Stellu</w:t>
      </w:r>
      <w:r>
        <w:rPr>
          <w:rFonts w:ascii="Times New Roman" w:eastAsia="Times New Roman" w:hAnsi="Times New Roman" w:cs="Times New Roman"/>
          <w:sz w:val="20"/>
        </w:rPr>
        <w:t xml:space="preserve">ng (guckt O nach oben, schaut H nach unten und umgekehrt). </w:t>
      </w:r>
    </w:p>
    <w:p w:rsidR="00BE1C61" w:rsidRDefault="00E041A8">
      <w:pPr>
        <w:spacing w:after="168"/>
      </w:pPr>
      <w:r>
        <w:rPr>
          <w:rFonts w:ascii="Times New Roman" w:eastAsia="Times New Roman" w:hAnsi="Times New Roman" w:cs="Times New Roman"/>
          <w:color w:val="202124"/>
        </w:rPr>
        <w:t xml:space="preserve"> </w:t>
      </w:r>
    </w:p>
    <w:p w:rsidR="00BE1C61" w:rsidRDefault="00E041A8">
      <w:pPr>
        <w:spacing w:after="184" w:line="249" w:lineRule="auto"/>
        <w:ind w:left="-5" w:right="52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-193547</wp:posOffset>
                </wp:positionH>
                <wp:positionV relativeFrom="paragraph">
                  <wp:posOffset>-266730</wp:posOffset>
                </wp:positionV>
                <wp:extent cx="6384036" cy="1385316"/>
                <wp:effectExtent l="0" t="0" r="0" b="0"/>
                <wp:wrapNone/>
                <wp:docPr id="1869" name="Group 1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036" cy="1385316"/>
                          <a:chOff x="0" y="0"/>
                          <a:chExt cx="6384036" cy="1385316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6384036" cy="1385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036" h="1385316">
                                <a:moveTo>
                                  <a:pt x="0" y="230124"/>
                                </a:moveTo>
                                <a:cubicBezTo>
                                  <a:pt x="0" y="102108"/>
                                  <a:pt x="103632" y="0"/>
                                  <a:pt x="230124" y="0"/>
                                </a:cubicBezTo>
                                <a:lnTo>
                                  <a:pt x="6152388" y="0"/>
                                </a:lnTo>
                                <a:cubicBezTo>
                                  <a:pt x="6280404" y="0"/>
                                  <a:pt x="6384036" y="102108"/>
                                  <a:pt x="6384036" y="230124"/>
                                </a:cubicBezTo>
                                <a:lnTo>
                                  <a:pt x="6384036" y="1153668"/>
                                </a:lnTo>
                                <a:cubicBezTo>
                                  <a:pt x="6384036" y="1281684"/>
                                  <a:pt x="6280404" y="1385316"/>
                                  <a:pt x="6152388" y="1385316"/>
                                </a:cubicBezTo>
                                <a:lnTo>
                                  <a:pt x="230124" y="1385316"/>
                                </a:lnTo>
                                <a:cubicBezTo>
                                  <a:pt x="103632" y="1385316"/>
                                  <a:pt x="0" y="1281684"/>
                                  <a:pt x="0" y="115366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9" style="width:502.68pt;height:109.08pt;position:absolute;z-index:-2147483575;mso-position-horizontal-relative:text;mso-position-horizontal:absolute;margin-left:-15.24pt;mso-position-vertical-relative:text;margin-top:-21.0024pt;" coordsize="63840,13853">
                <v:shape id="Shape 191" style="position:absolute;width:63840;height:13853;left:0;top:0;" coordsize="6384036,1385316" path="m0,230124c0,102108,103632,0,230124,0l6152388,0c6280404,0,6384036,102108,6384036,230124l6384036,1153668c6384036,1281684,6280404,1385316,6152388,1385316l230124,1385316c103632,1385316,0,1281684,0,1153668x">
                  <v:stroke weight="0.96pt" endcap="flat" joinstyle="miter" miterlimit="8" on="true" color="#2f528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02124"/>
        </w:rPr>
        <w:t>Definition Mesomerie: Als Mesomerie (auch Resonanz oder Resonanzstruktur) wird in der Chemie das Phänomen bezeichnet, dass die Bindungsverhältnisse in manchen Molekülen nicht durch eine einzige</w:t>
      </w:r>
      <w:r>
        <w:rPr>
          <w:rFonts w:ascii="Times New Roman" w:eastAsia="Times New Roman" w:hAnsi="Times New Roman" w:cs="Times New Roman"/>
          <w:color w:val="202124"/>
        </w:rPr>
        <w:t xml:space="preserve"> Strukturformel, sondern nur durch mehrere sog. Grenzformeln dargestellt werden können. </w:t>
      </w:r>
    </w:p>
    <w:p w:rsidR="00BE1C61" w:rsidRDefault="00E041A8">
      <w:pPr>
        <w:spacing w:after="184" w:line="249" w:lineRule="auto"/>
        <w:ind w:left="-5" w:right="521" w:hanging="10"/>
      </w:pPr>
      <w:r>
        <w:rPr>
          <w:rFonts w:ascii="Times New Roman" w:eastAsia="Times New Roman" w:hAnsi="Times New Roman" w:cs="Times New Roman"/>
          <w:color w:val="202124"/>
        </w:rPr>
        <w:t>Frage: überlege nochmal, in wie fern trifft die Mesomerie bei Proteinen zu?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BE1C61" w:rsidRDefault="00E041A8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BE1C61" w:rsidRDefault="00E041A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E1C61">
      <w:pgSz w:w="11906" w:h="16838"/>
      <w:pgMar w:top="586" w:right="658" w:bottom="92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768D5"/>
    <w:multiLevelType w:val="hybridMultilevel"/>
    <w:tmpl w:val="F426EC6A"/>
    <w:lvl w:ilvl="0" w:tplc="494E932A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063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524F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D2E1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CA61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A1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FE29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000A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C067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438EA"/>
    <w:multiLevelType w:val="hybridMultilevel"/>
    <w:tmpl w:val="50A43818"/>
    <w:lvl w:ilvl="0" w:tplc="82D48C8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5640F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5E18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D810A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808C7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1873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B0CD4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183DB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6EF12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1"/>
    <w:rsid w:val="000A48EF"/>
    <w:rsid w:val="00312CEB"/>
    <w:rsid w:val="005B4088"/>
    <w:rsid w:val="00BE1C61"/>
    <w:rsid w:val="00E041A8"/>
    <w:rsid w:val="00EA5BA6"/>
    <w:rsid w:val="00F8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700E"/>
  <w15:docId w15:val="{9CBB64E2-35B0-4321-B271-3C05D48C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- 2021-02-22 Wiederholung + Vertiefung der Peptidbindung.docx</vt:lpstr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- 2021-02-22 Wiederholung + Vertiefung der Peptidbindung.docx</dc:title>
  <dc:subject/>
  <dc:creator>uwick</dc:creator>
  <cp:keywords/>
  <cp:lastModifiedBy>Uwe Krafft</cp:lastModifiedBy>
  <cp:revision>3</cp:revision>
  <dcterms:created xsi:type="dcterms:W3CDTF">2021-02-22T13:52:00Z</dcterms:created>
  <dcterms:modified xsi:type="dcterms:W3CDTF">2021-02-22T14:20:00Z</dcterms:modified>
</cp:coreProperties>
</file>