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Times New Roman" w:hAnsi="Times New Roman"/>
          <w:b/>
          <w:sz w:val="22"/>
        </w:rPr>
        <w:t>Table 1. Descriptive Statistics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176"/>
            <w:tcBorders>
              <w:top w:val="none" w:sz="0" w:space="0" w:color="FFFFFF"/>
              <w:bottom w:val="none" w:sz="0" w:space="0" w:color="FFFFFF"/>
              <w:left w:val="none" w:sz="0" w:space="0" w:color="FFFFFF"/>
              <w:right w:val="none" w:sz="0" w:space="0" w:color="FFFFFF"/>
            </w:tcBorders>
            <w:tcBorders>
              <w:top w:val="single" w:sz="6" w:space="0" w:color="000000"/>
              <w:bottom w:val="single" w:sz="6" w:space="0" w:color="000000"/>
            </w:tcBorders>
          </w:tcPr>
          <w:p>
            <w:pPr>
              <w:spacing w:before="20" w:after="20"/>
              <w:jc w:val="left"/>
            </w:pPr>
            <w:r>
              <w:rPr>
                <w:rFonts w:ascii="Times New Roman" w:hAnsi="Times New Roman"/>
                <w:b/>
                <w:i w:val="0"/>
                <w:sz w:val="20"/>
              </w:rPr>
              <w:t>Variable</w:t>
            </w:r>
          </w:p>
        </w:tc>
        <w:tc>
          <w:tcPr>
            <w:tcW w:type="dxa" w:w="576"/>
            <w:tcBorders>
              <w:top w:val="none" w:sz="0" w:space="0" w:color="FFFFFF"/>
              <w:bottom w:val="none" w:sz="0" w:space="0" w:color="FFFFFF"/>
              <w:left w:val="none" w:sz="0" w:space="0" w:color="FFFFFF"/>
              <w:right w:val="none" w:sz="0" w:space="0" w:color="FFFFFF"/>
            </w:tcBorders>
            <w:tcBorders>
              <w:top w:val="single" w:sz="6" w:space="0" w:color="000000"/>
              <w:bottom w:val="single" w:sz="6" w:space="0" w:color="000000"/>
            </w:tcBorders>
          </w:tcPr>
          <w:p>
            <w:pPr>
              <w:spacing w:before="20" w:after="20"/>
              <w:jc w:val="right"/>
            </w:pPr>
            <w:r>
              <w:rPr>
                <w:rFonts w:ascii="Times New Roman" w:hAnsi="Times New Roman"/>
                <w:b/>
                <w:i w:val="0"/>
                <w:sz w:val="20"/>
              </w:rPr>
              <w:t>N</w:t>
            </w:r>
          </w:p>
        </w:tc>
        <w:tc>
          <w:tcPr>
            <w:tcW w:type="dxa" w:w="1224"/>
            <w:tcBorders>
              <w:top w:val="none" w:sz="0" w:space="0" w:color="FFFFFF"/>
              <w:bottom w:val="none" w:sz="0" w:space="0" w:color="FFFFFF"/>
              <w:left w:val="none" w:sz="0" w:space="0" w:color="FFFFFF"/>
              <w:right w:val="none" w:sz="0" w:space="0" w:color="FFFFFF"/>
            </w:tcBorders>
            <w:tcBorders>
              <w:top w:val="single" w:sz="6" w:space="0" w:color="000000"/>
              <w:bottom w:val="single" w:sz="6" w:space="0" w:color="000000"/>
            </w:tcBorders>
          </w:tcPr>
          <w:p>
            <w:pPr>
              <w:spacing w:before="20" w:after="20"/>
              <w:jc w:val="right"/>
            </w:pPr>
            <w:r>
              <w:rPr>
                <w:rFonts w:ascii="Times New Roman" w:hAnsi="Times New Roman"/>
                <w:b/>
                <w:i w:val="0"/>
                <w:sz w:val="20"/>
              </w:rPr>
              <w:t>Mean</w:t>
            </w:r>
          </w:p>
        </w:tc>
        <w:tc>
          <w:tcPr>
            <w:tcW w:type="dxa" w:w="1224"/>
            <w:tcBorders>
              <w:top w:val="none" w:sz="0" w:space="0" w:color="FFFFFF"/>
              <w:bottom w:val="none" w:sz="0" w:space="0" w:color="FFFFFF"/>
              <w:left w:val="none" w:sz="0" w:space="0" w:color="FFFFFF"/>
              <w:right w:val="none" w:sz="0" w:space="0" w:color="FFFFFF"/>
            </w:tcBorders>
            <w:tcBorders>
              <w:top w:val="single" w:sz="6" w:space="0" w:color="000000"/>
              <w:bottom w:val="single" w:sz="6" w:space="0" w:color="000000"/>
            </w:tcBorders>
          </w:tcPr>
          <w:p>
            <w:pPr>
              <w:spacing w:before="20" w:after="20"/>
              <w:jc w:val="right"/>
            </w:pPr>
            <w:r>
              <w:rPr>
                <w:rFonts w:ascii="Times New Roman" w:hAnsi="Times New Roman"/>
                <w:b/>
                <w:i w:val="0"/>
                <w:sz w:val="20"/>
              </w:rPr>
              <w:t>Std. Dev.</w:t>
            </w:r>
          </w:p>
        </w:tc>
        <w:tc>
          <w:tcPr>
            <w:tcW w:type="dxa" w:w="1224"/>
            <w:tcBorders>
              <w:top w:val="none" w:sz="0" w:space="0" w:color="FFFFFF"/>
              <w:bottom w:val="none" w:sz="0" w:space="0" w:color="FFFFFF"/>
              <w:left w:val="none" w:sz="0" w:space="0" w:color="FFFFFF"/>
              <w:right w:val="none" w:sz="0" w:space="0" w:color="FFFFFF"/>
            </w:tcBorders>
            <w:tcBorders>
              <w:top w:val="single" w:sz="6" w:space="0" w:color="000000"/>
              <w:bottom w:val="single" w:sz="6" w:space="0" w:color="000000"/>
            </w:tcBorders>
          </w:tcPr>
          <w:p>
            <w:pPr>
              <w:spacing w:before="20" w:after="20"/>
              <w:jc w:val="right"/>
            </w:pPr>
            <w:r>
              <w:rPr>
                <w:rFonts w:ascii="Times New Roman" w:hAnsi="Times New Roman"/>
                <w:b/>
                <w:i w:val="0"/>
                <w:sz w:val="20"/>
              </w:rPr>
              <w:t>Min</w:t>
            </w:r>
          </w:p>
        </w:tc>
        <w:tc>
          <w:tcPr>
            <w:tcW w:type="dxa" w:w="1080"/>
            <w:tcBorders>
              <w:top w:val="none" w:sz="0" w:space="0" w:color="FFFFFF"/>
              <w:bottom w:val="none" w:sz="0" w:space="0" w:color="FFFFFF"/>
              <w:left w:val="none" w:sz="0" w:space="0" w:color="FFFFFF"/>
              <w:right w:val="none" w:sz="0" w:space="0" w:color="FFFFFF"/>
            </w:tcBorders>
            <w:tcBorders>
              <w:top w:val="single" w:sz="6" w:space="0" w:color="000000"/>
              <w:bottom w:val="single" w:sz="6" w:space="0" w:color="000000"/>
            </w:tcBorders>
          </w:tcPr>
          <w:p>
            <w:pPr>
              <w:spacing w:before="20" w:after="20"/>
              <w:jc w:val="right"/>
            </w:pPr>
            <w:r>
              <w:rPr>
                <w:rFonts w:ascii="Times New Roman" w:hAnsi="Times New Roman"/>
                <w:b/>
                <w:i w:val="0"/>
                <w:sz w:val="20"/>
              </w:rPr>
              <w:t>Max</w:t>
            </w:r>
          </w:p>
        </w:tc>
      </w:tr>
      <w:tr>
        <w:tc>
          <w:tcPr>
            <w:tcW w:type="dxa" w:w="8640"/>
            <w:gridSpan w:val="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20"/>
            </w:pPr>
            <w:r>
              <w:rPr>
                <w:rFonts w:ascii="Times New Roman" w:hAnsi="Times New Roman"/>
                <w:b/>
                <w:i w:val="0"/>
                <w:sz w:val="20"/>
              </w:rPr>
              <w:t>Panel A: ERCOT</w:t>
            </w:r>
          </w:p>
        </w:tc>
      </w:tr>
      <w:tr>
        <w:trPr>
          <w:trHeight w:val="280"/>
        </w:trPr>
        <w:tc>
          <w:tcPr>
            <w:tcW w:type="dxa" w:w="1440"/>
            <w:tcBorders>
              <w:top w:val="none" w:sz="0" w:space="0" w:color="FFFFFF"/>
              <w:bottom w:val="none" w:sz="0" w:space="0" w:color="FFFFFF"/>
              <w:left w:val="none" w:sz="0" w:space="0" w:color="FFFFFF"/>
              <w:right w:val="none" w:sz="0" w:space="0" w:color="FFFFFF"/>
            </w:tcBorders>
          </w:tcPr>
          <w:p>
            <w:pPr>
              <w:spacing w:before="20" w:after="20"/>
              <w:jc w:val="left"/>
            </w:pPr>
            <w:r>
              <w:rPr>
                <w:rFonts w:ascii="Times New Roman" w:hAnsi="Times New Roman"/>
                <w:b w:val="0"/>
                <w:i w:val="0"/>
                <w:sz w:val="20"/>
              </w:rPr>
              <w:t xml:space="preserve">   Avg. hourly demand (MWh)</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84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48,634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8,211</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36,647</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67,863</w:t>
            </w:r>
          </w:p>
        </w:tc>
      </w:tr>
      <w:tr>
        <w:trPr>
          <w:trHeight w:val="280"/>
        </w:trPr>
        <w:tc>
          <w:tcPr>
            <w:tcW w:type="dxa" w:w="1440"/>
            <w:tcBorders>
              <w:top w:val="none" w:sz="0" w:space="0" w:color="FFFFFF"/>
              <w:bottom w:val="none" w:sz="0" w:space="0" w:color="FFFFFF"/>
              <w:left w:val="none" w:sz="0" w:space="0" w:color="FFFFFF"/>
              <w:right w:val="none" w:sz="0" w:space="0" w:color="FFFFFF"/>
            </w:tcBorders>
          </w:tcPr>
          <w:p>
            <w:pPr>
              <w:spacing w:before="20" w:after="20"/>
              <w:jc w:val="left"/>
            </w:pPr>
            <w:r>
              <w:rPr>
                <w:rFonts w:ascii="Times New Roman" w:hAnsi="Times New Roman"/>
                <w:b w:val="0"/>
                <w:i w:val="0"/>
                <w:sz w:val="20"/>
              </w:rPr>
              <w:t xml:space="preserve">   Min. hourly demand (MWh)</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84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35,374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5,394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27,449</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49,402</w:t>
            </w:r>
          </w:p>
        </w:tc>
      </w:tr>
      <w:tr>
        <w:trPr>
          <w:trHeight w:val="280"/>
        </w:trPr>
        <w:tc>
          <w:tcPr>
            <w:tcW w:type="dxa" w:w="1440"/>
            <w:tcBorders>
              <w:top w:val="none" w:sz="0" w:space="0" w:color="FFFFFF"/>
              <w:bottom w:val="none" w:sz="0" w:space="0" w:color="FFFFFF"/>
              <w:left w:val="none" w:sz="0" w:space="0" w:color="FFFFFF"/>
              <w:right w:val="none" w:sz="0" w:space="0" w:color="FFFFFF"/>
            </w:tcBorders>
          </w:tcPr>
          <w:p>
            <w:pPr>
              <w:spacing w:before="20" w:after="20"/>
              <w:jc w:val="left"/>
            </w:pPr>
            <w:r>
              <w:rPr>
                <w:rFonts w:ascii="Times New Roman" w:hAnsi="Times New Roman"/>
                <w:b w:val="0"/>
                <w:i w:val="0"/>
                <w:sz w:val="20"/>
              </w:rPr>
              <w:t xml:space="preserve">   Queue MW filed, ≥100 MW</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84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4,569</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3,271</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0</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14,974</w:t>
            </w:r>
          </w:p>
        </w:tc>
      </w:tr>
      <w:tr>
        <w:trPr>
          <w:trHeight w:val="280"/>
        </w:trPr>
        <w:tc>
          <w:tcPr>
            <w:tcW w:type="dxa" w:w="1440"/>
            <w:tcBorders>
              <w:top w:val="none" w:sz="0" w:space="0" w:color="FFFFFF"/>
              <w:bottom w:val="none" w:sz="0" w:space="0" w:color="FFFFFF"/>
              <w:left w:val="none" w:sz="0" w:space="0" w:color="FFFFFF"/>
              <w:right w:val="none" w:sz="0" w:space="0" w:color="FFFFFF"/>
            </w:tcBorders>
          </w:tcPr>
          <w:p>
            <w:pPr>
              <w:spacing w:before="20" w:after="20"/>
              <w:jc w:val="left"/>
            </w:pPr>
            <w:r>
              <w:rPr>
                <w:rFonts w:ascii="Times New Roman" w:hAnsi="Times New Roman"/>
                <w:b w:val="0"/>
                <w:i w:val="0"/>
                <w:sz w:val="20"/>
              </w:rPr>
              <w:t xml:space="preserve">   Queue MW active (stock)</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84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200,264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135,596</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4,002</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397,859</w:t>
            </w:r>
          </w:p>
        </w:tc>
      </w:tr>
      <w:tr>
        <w:trPr>
          <w:trHeight w:val="280"/>
        </w:trPr>
        <w:tc>
          <w:tcPr>
            <w:tcW w:type="dxa" w:w="1440"/>
            <w:tcBorders>
              <w:top w:val="none" w:sz="0" w:space="0" w:color="FFFFFF"/>
              <w:bottom w:val="none" w:sz="0" w:space="0" w:color="FFFFFF"/>
              <w:left w:val="none" w:sz="0" w:space="0" w:color="FFFFFF"/>
              <w:right w:val="none" w:sz="0" w:space="0" w:color="FFFFFF"/>
            </w:tcBorders>
          </w:tcPr>
          <w:p>
            <w:pPr>
              <w:spacing w:before="20" w:after="20"/>
              <w:jc w:val="left"/>
            </w:pPr>
            <w:r>
              <w:rPr>
                <w:rFonts w:ascii="Times New Roman" w:hAnsi="Times New Roman"/>
                <w:b w:val="0"/>
                <w:i w:val="0"/>
                <w:sz w:val="20"/>
              </w:rPr>
              <w:t xml:space="preserve">   Heating degree days</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84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164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206</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0</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686</w:t>
            </w:r>
          </w:p>
        </w:tc>
      </w:tr>
      <w:tr>
        <w:trPr>
          <w:trHeight w:val="280"/>
        </w:trPr>
        <w:tc>
          <w:tcPr>
            <w:tcW w:type="dxa" w:w="1440"/>
            <w:tcBorders>
              <w:top w:val="none" w:sz="0" w:space="0" w:color="FFFFFF"/>
              <w:bottom w:val="none" w:sz="0" w:space="0" w:color="FFFFFF"/>
              <w:left w:val="none" w:sz="0" w:space="0" w:color="FFFFFF"/>
              <w:right w:val="none" w:sz="0" w:space="0" w:color="FFFFFF"/>
            </w:tcBorders>
          </w:tcPr>
          <w:p>
            <w:pPr>
              <w:spacing w:before="20" w:after="20"/>
              <w:jc w:val="left"/>
            </w:pPr>
            <w:r>
              <w:rPr>
                <w:rFonts w:ascii="Times New Roman" w:hAnsi="Times New Roman"/>
                <w:b w:val="0"/>
                <w:i w:val="0"/>
                <w:sz w:val="20"/>
              </w:rPr>
              <w:t xml:space="preserve">   Cooling degree days</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84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263</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264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0</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864</w:t>
            </w:r>
          </w:p>
        </w:tc>
      </w:tr>
      <w:tr>
        <w:trPr>
          <w:trHeight w:val="280"/>
        </w:trPr>
        <w:tc>
          <w:tcPr>
            <w:tcW w:type="dxa" w:w="1440"/>
            <w:tcBorders>
              <w:top w:val="none" w:sz="0" w:space="0" w:color="FFFFFF"/>
              <w:bottom w:val="none" w:sz="0" w:space="0" w:color="FFFFFF"/>
              <w:left w:val="none" w:sz="0" w:space="0" w:color="FFFFFF"/>
              <w:right w:val="none" w:sz="0" w:space="0" w:color="FFFFFF"/>
            </w:tcBorders>
          </w:tcPr>
          <w:p>
            <w:pPr>
              <w:spacing w:before="20" w:after="20"/>
              <w:jc w:val="left"/>
            </w:pPr>
            <w:r>
              <w:rPr>
                <w:rFonts w:ascii="Times New Roman" w:hAnsi="Times New Roman"/>
                <w:b w:val="0"/>
                <w:i w:val="0"/>
                <w:sz w:val="20"/>
              </w:rPr>
              <w:t xml:space="preserve">   Regional GDP (billions $)</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84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2,007.4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174.7</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1,782.7</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2,221.9</w:t>
            </w:r>
          </w:p>
        </w:tc>
      </w:tr>
      <w:tr>
        <w:tc>
          <w:tcPr>
            <w:tcW w:type="dxa" w:w="8640"/>
            <w:gridSpan w:val="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100" w:after="20"/>
            </w:pPr>
            <w:r>
              <w:rPr>
                <w:rFonts w:ascii="Times New Roman" w:hAnsi="Times New Roman"/>
                <w:b/>
                <w:i w:val="0"/>
                <w:sz w:val="20"/>
              </w:rPr>
              <w:t>Panel B: PJM</w:t>
            </w:r>
          </w:p>
        </w:tc>
      </w:tr>
      <w:tr>
        <w:trPr>
          <w:trHeight w:val="280"/>
        </w:trPr>
        <w:tc>
          <w:tcPr>
            <w:tcW w:type="dxa" w:w="1440"/>
            <w:tcBorders>
              <w:top w:val="none" w:sz="0" w:space="0" w:color="FFFFFF"/>
              <w:bottom w:val="none" w:sz="0" w:space="0" w:color="FFFFFF"/>
              <w:left w:val="none" w:sz="0" w:space="0" w:color="FFFFFF"/>
              <w:right w:val="none" w:sz="0" w:space="0" w:color="FFFFFF"/>
            </w:tcBorders>
          </w:tcPr>
          <w:p>
            <w:pPr>
              <w:spacing w:before="20" w:after="20"/>
              <w:jc w:val="left"/>
            </w:pPr>
            <w:r>
              <w:rPr>
                <w:rFonts w:ascii="Times New Roman" w:hAnsi="Times New Roman"/>
                <w:b w:val="0"/>
                <w:i w:val="0"/>
                <w:sz w:val="20"/>
              </w:rPr>
              <w:t xml:space="preserve">   Avg. hourly demand (MWh)</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84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91,586</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10,075</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73,267</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116,275</w:t>
            </w:r>
          </w:p>
        </w:tc>
      </w:tr>
      <w:tr>
        <w:trPr>
          <w:trHeight w:val="280"/>
        </w:trPr>
        <w:tc>
          <w:tcPr>
            <w:tcW w:type="dxa" w:w="1440"/>
            <w:tcBorders>
              <w:top w:val="none" w:sz="0" w:space="0" w:color="FFFFFF"/>
              <w:bottom w:val="none" w:sz="0" w:space="0" w:color="FFFFFF"/>
              <w:left w:val="none" w:sz="0" w:space="0" w:color="FFFFFF"/>
              <w:right w:val="none" w:sz="0" w:space="0" w:color="FFFFFF"/>
            </w:tcBorders>
          </w:tcPr>
          <w:p>
            <w:pPr>
              <w:spacing w:before="20" w:after="20"/>
              <w:jc w:val="left"/>
            </w:pPr>
            <w:r>
              <w:rPr>
                <w:rFonts w:ascii="Times New Roman" w:hAnsi="Times New Roman"/>
                <w:b w:val="0"/>
                <w:i w:val="0"/>
                <w:sz w:val="20"/>
              </w:rPr>
              <w:t xml:space="preserve">   Min. hourly demand (MWh)</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84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68,379</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5,582</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56,260</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82,130</w:t>
            </w:r>
          </w:p>
        </w:tc>
      </w:tr>
      <w:tr>
        <w:trPr>
          <w:trHeight w:val="280"/>
        </w:trPr>
        <w:tc>
          <w:tcPr>
            <w:tcW w:type="dxa" w:w="1440"/>
            <w:tcBorders>
              <w:top w:val="none" w:sz="0" w:space="0" w:color="FFFFFF"/>
              <w:bottom w:val="none" w:sz="0" w:space="0" w:color="FFFFFF"/>
              <w:left w:val="none" w:sz="0" w:space="0" w:color="FFFFFF"/>
              <w:right w:val="none" w:sz="0" w:space="0" w:color="FFFFFF"/>
            </w:tcBorders>
          </w:tcPr>
          <w:p>
            <w:pPr>
              <w:spacing w:before="20" w:after="20"/>
              <w:jc w:val="left"/>
            </w:pPr>
            <w:r>
              <w:rPr>
                <w:rFonts w:ascii="Times New Roman" w:hAnsi="Times New Roman"/>
                <w:b w:val="0"/>
                <w:i w:val="0"/>
                <w:sz w:val="20"/>
              </w:rPr>
              <w:t xml:space="preserve">   Queue MW filed, ≥100 MW</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84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2,831</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6,406</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0</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32,486</w:t>
            </w:r>
          </w:p>
        </w:tc>
      </w:tr>
      <w:tr>
        <w:trPr>
          <w:trHeight w:val="280"/>
        </w:trPr>
        <w:tc>
          <w:tcPr>
            <w:tcW w:type="dxa" w:w="1440"/>
            <w:tcBorders>
              <w:top w:val="none" w:sz="0" w:space="0" w:color="FFFFFF"/>
              <w:bottom w:val="none" w:sz="0" w:space="0" w:color="FFFFFF"/>
              <w:left w:val="none" w:sz="0" w:space="0" w:color="FFFFFF"/>
              <w:right w:val="none" w:sz="0" w:space="0" w:color="FFFFFF"/>
            </w:tcBorders>
          </w:tcPr>
          <w:p>
            <w:pPr>
              <w:spacing w:before="20" w:after="20"/>
              <w:jc w:val="left"/>
            </w:pPr>
            <w:r>
              <w:rPr>
                <w:rFonts w:ascii="Times New Roman" w:hAnsi="Times New Roman"/>
                <w:b w:val="0"/>
                <w:i w:val="0"/>
                <w:sz w:val="20"/>
              </w:rPr>
              <w:t xml:space="preserve">   Queue MW active (stock)</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84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203,997</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98,894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2,504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294,758</w:t>
            </w:r>
          </w:p>
        </w:tc>
      </w:tr>
      <w:tr>
        <w:trPr>
          <w:trHeight w:val="280"/>
        </w:trPr>
        <w:tc>
          <w:tcPr>
            <w:tcW w:type="dxa" w:w="1440"/>
            <w:tcBorders>
              <w:top w:val="none" w:sz="0" w:space="0" w:color="FFFFFF"/>
              <w:bottom w:val="none" w:sz="0" w:space="0" w:color="FFFFFF"/>
              <w:left w:val="none" w:sz="0" w:space="0" w:color="FFFFFF"/>
              <w:right w:val="none" w:sz="0" w:space="0" w:color="FFFFFF"/>
            </w:tcBorders>
          </w:tcPr>
          <w:p>
            <w:pPr>
              <w:spacing w:before="20" w:after="20"/>
              <w:jc w:val="left"/>
            </w:pPr>
            <w:r>
              <w:rPr>
                <w:rFonts w:ascii="Times New Roman" w:hAnsi="Times New Roman"/>
                <w:b w:val="0"/>
                <w:i w:val="0"/>
                <w:sz w:val="20"/>
              </w:rPr>
              <w:t xml:space="preserve">   Heating degree days</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84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338</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337</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0</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1,074</w:t>
            </w:r>
          </w:p>
        </w:tc>
      </w:tr>
      <w:tr>
        <w:trPr>
          <w:trHeight w:val="280"/>
        </w:trPr>
        <w:tc>
          <w:tcPr>
            <w:tcW w:type="dxa" w:w="1440"/>
            <w:tcBorders>
              <w:top w:val="none" w:sz="0" w:space="0" w:color="FFFFFF"/>
              <w:bottom w:val="none" w:sz="0" w:space="0" w:color="FFFFFF"/>
              <w:left w:val="none" w:sz="0" w:space="0" w:color="FFFFFF"/>
              <w:right w:val="none" w:sz="0" w:space="0" w:color="FFFFFF"/>
            </w:tcBorders>
          </w:tcPr>
          <w:p>
            <w:pPr>
              <w:spacing w:before="20" w:after="20"/>
              <w:jc w:val="left"/>
            </w:pPr>
            <w:r>
              <w:rPr>
                <w:rFonts w:ascii="Times New Roman" w:hAnsi="Times New Roman"/>
                <w:b w:val="0"/>
                <w:i w:val="0"/>
                <w:sz w:val="20"/>
              </w:rPr>
              <w:t xml:space="preserve">   Cooling degree days</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84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128</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173</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0</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531</w:t>
            </w:r>
          </w:p>
        </w:tc>
      </w:tr>
      <w:tr>
        <w:trPr>
          <w:trHeight w:val="280"/>
        </w:trPr>
        <w:tc>
          <w:tcPr>
            <w:tcW w:type="dxa" w:w="1440"/>
            <w:tcBorders>
              <w:top w:val="none" w:sz="0" w:space="0" w:color="FFFFFF"/>
              <w:bottom w:val="none" w:sz="0" w:space="0" w:color="FFFFFF"/>
              <w:left w:val="none" w:sz="0" w:space="0" w:color="FFFFFF"/>
              <w:right w:val="none" w:sz="0" w:space="0" w:color="FFFFFF"/>
            </w:tcBorders>
          </w:tcPr>
          <w:p>
            <w:pPr>
              <w:spacing w:before="20" w:after="20"/>
              <w:jc w:val="left"/>
            </w:pPr>
            <w:r>
              <w:rPr>
                <w:rFonts w:ascii="Times New Roman" w:hAnsi="Times New Roman"/>
                <w:b w:val="0"/>
                <w:i w:val="0"/>
                <w:sz w:val="20"/>
              </w:rPr>
              <w:t xml:space="preserve">   Regional GDP (billions $)</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84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6,236.4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259.7</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5,807.7</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6,538.7</w:t>
            </w:r>
          </w:p>
        </w:tc>
      </w:tr>
      <w:tr>
        <w:tc>
          <w:tcPr>
            <w:tcW w:type="dxa" w:w="8640"/>
            <w:gridSpan w:val="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100" w:after="20"/>
            </w:pPr>
            <w:r>
              <w:rPr>
                <w:rFonts w:ascii="Times New Roman" w:hAnsi="Times New Roman"/>
                <w:b/>
                <w:i w:val="0"/>
                <w:sz w:val="20"/>
              </w:rPr>
              <w:t>Panel C: MISO</w:t>
            </w:r>
          </w:p>
        </w:tc>
      </w:tr>
      <w:tr>
        <w:trPr>
          <w:trHeight w:val="280"/>
        </w:trPr>
        <w:tc>
          <w:tcPr>
            <w:tcW w:type="dxa" w:w="1440"/>
            <w:tcBorders>
              <w:top w:val="none" w:sz="0" w:space="0" w:color="FFFFFF"/>
              <w:bottom w:val="none" w:sz="0" w:space="0" w:color="FFFFFF"/>
              <w:left w:val="none" w:sz="0" w:space="0" w:color="FFFFFF"/>
              <w:right w:val="none" w:sz="0" w:space="0" w:color="FFFFFF"/>
            </w:tcBorders>
          </w:tcPr>
          <w:p>
            <w:pPr>
              <w:spacing w:before="20" w:after="20"/>
              <w:jc w:val="left"/>
            </w:pPr>
            <w:r>
              <w:rPr>
                <w:rFonts w:ascii="Times New Roman" w:hAnsi="Times New Roman"/>
                <w:b w:val="0"/>
                <w:i w:val="0"/>
                <w:sz w:val="20"/>
              </w:rPr>
              <w:t xml:space="preserve">   Avg. hourly demand (MWh)</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84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73,653</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7,018</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59,987</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90,555</w:t>
            </w:r>
          </w:p>
        </w:tc>
      </w:tr>
      <w:tr>
        <w:trPr>
          <w:trHeight w:val="280"/>
        </w:trPr>
        <w:tc>
          <w:tcPr>
            <w:tcW w:type="dxa" w:w="1440"/>
            <w:tcBorders>
              <w:top w:val="none" w:sz="0" w:space="0" w:color="FFFFFF"/>
              <w:bottom w:val="none" w:sz="0" w:space="0" w:color="FFFFFF"/>
              <w:left w:val="none" w:sz="0" w:space="0" w:color="FFFFFF"/>
              <w:right w:val="none" w:sz="0" w:space="0" w:color="FFFFFF"/>
            </w:tcBorders>
          </w:tcPr>
          <w:p>
            <w:pPr>
              <w:spacing w:before="20" w:after="20"/>
              <w:jc w:val="left"/>
            </w:pPr>
            <w:r>
              <w:rPr>
                <w:rFonts w:ascii="Times New Roman" w:hAnsi="Times New Roman"/>
                <w:b w:val="0"/>
                <w:i w:val="0"/>
                <w:sz w:val="20"/>
              </w:rPr>
              <w:t xml:space="preserve">   Min. hourly demand (MWh)</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84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56,577</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3,705</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48,878</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66,762</w:t>
            </w:r>
          </w:p>
        </w:tc>
      </w:tr>
      <w:tr>
        <w:trPr>
          <w:trHeight w:val="280"/>
        </w:trPr>
        <w:tc>
          <w:tcPr>
            <w:tcW w:type="dxa" w:w="1440"/>
            <w:tcBorders>
              <w:top w:val="none" w:sz="0" w:space="0" w:color="FFFFFF"/>
              <w:bottom w:val="none" w:sz="0" w:space="0" w:color="FFFFFF"/>
              <w:left w:val="none" w:sz="0" w:space="0" w:color="FFFFFF"/>
              <w:right w:val="none" w:sz="0" w:space="0" w:color="FFFFFF"/>
            </w:tcBorders>
          </w:tcPr>
          <w:p>
            <w:pPr>
              <w:spacing w:before="20" w:after="20"/>
              <w:jc w:val="left"/>
            </w:pPr>
            <w:r>
              <w:rPr>
                <w:rFonts w:ascii="Times New Roman" w:hAnsi="Times New Roman"/>
                <w:b w:val="0"/>
                <w:i w:val="0"/>
                <w:sz w:val="20"/>
              </w:rPr>
              <w:t xml:space="preserve">   Queue MW filed, ≥100 MW</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84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5,334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20,989</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0</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154,214</w:t>
            </w:r>
          </w:p>
        </w:tc>
      </w:tr>
      <w:tr>
        <w:trPr>
          <w:trHeight w:val="280"/>
        </w:trPr>
        <w:tc>
          <w:tcPr>
            <w:tcW w:type="dxa" w:w="1440"/>
            <w:tcBorders>
              <w:top w:val="none" w:sz="0" w:space="0" w:color="FFFFFF"/>
              <w:bottom w:val="none" w:sz="0" w:space="0" w:color="FFFFFF"/>
              <w:left w:val="none" w:sz="0" w:space="0" w:color="FFFFFF"/>
              <w:right w:val="none" w:sz="0" w:space="0" w:color="FFFFFF"/>
            </w:tcBorders>
          </w:tcPr>
          <w:p>
            <w:pPr>
              <w:spacing w:before="20" w:after="20"/>
              <w:jc w:val="left"/>
            </w:pPr>
            <w:r>
              <w:rPr>
                <w:rFonts w:ascii="Times New Roman" w:hAnsi="Times New Roman"/>
                <w:b w:val="0"/>
                <w:i w:val="0"/>
                <w:sz w:val="20"/>
              </w:rPr>
              <w:t xml:space="preserve">   Queue MW active (stock)</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84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167,669</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96,064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200</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293,941</w:t>
            </w:r>
          </w:p>
        </w:tc>
      </w:tr>
      <w:tr>
        <w:trPr>
          <w:trHeight w:val="280"/>
        </w:trPr>
        <w:tc>
          <w:tcPr>
            <w:tcW w:type="dxa" w:w="1440"/>
            <w:tcBorders>
              <w:top w:val="none" w:sz="0" w:space="0" w:color="FFFFFF"/>
              <w:bottom w:val="none" w:sz="0" w:space="0" w:color="FFFFFF"/>
              <w:left w:val="none" w:sz="0" w:space="0" w:color="FFFFFF"/>
              <w:right w:val="none" w:sz="0" w:space="0" w:color="FFFFFF"/>
            </w:tcBorders>
          </w:tcPr>
          <w:p>
            <w:pPr>
              <w:spacing w:before="20" w:after="20"/>
              <w:jc w:val="left"/>
            </w:pPr>
            <w:r>
              <w:rPr>
                <w:rFonts w:ascii="Times New Roman" w:hAnsi="Times New Roman"/>
                <w:b w:val="0"/>
                <w:i w:val="0"/>
                <w:sz w:val="20"/>
              </w:rPr>
              <w:t xml:space="preserve">   Heating degree days</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84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469</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436</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0</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1,377</w:t>
            </w:r>
          </w:p>
        </w:tc>
      </w:tr>
      <w:tr>
        <w:trPr>
          <w:trHeight w:val="280"/>
        </w:trPr>
        <w:tc>
          <w:tcPr>
            <w:tcW w:type="dxa" w:w="1440"/>
            <w:tcBorders>
              <w:top w:val="none" w:sz="0" w:space="0" w:color="FFFFFF"/>
              <w:bottom w:val="none" w:sz="0" w:space="0" w:color="FFFFFF"/>
              <w:left w:val="none" w:sz="0" w:space="0" w:color="FFFFFF"/>
              <w:right w:val="none" w:sz="0" w:space="0" w:color="FFFFFF"/>
            </w:tcBorders>
          </w:tcPr>
          <w:p>
            <w:pPr>
              <w:spacing w:before="20" w:after="20"/>
              <w:jc w:val="left"/>
            </w:pPr>
            <w:r>
              <w:rPr>
                <w:rFonts w:ascii="Times New Roman" w:hAnsi="Times New Roman"/>
                <w:b w:val="0"/>
                <w:i w:val="0"/>
                <w:sz w:val="20"/>
              </w:rPr>
              <w:t xml:space="preserve">   Cooling degree days</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84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96</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130</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0</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441</w:t>
            </w:r>
          </w:p>
        </w:tc>
      </w:tr>
      <w:tr>
        <w:trPr>
          <w:trHeight w:val="280"/>
        </w:trPr>
        <w:tc>
          <w:tcPr>
            <w:tcW w:type="dxa" w:w="1440"/>
            <w:tcBorders>
              <w:top w:val="none" w:sz="0" w:space="0" w:color="FFFFFF"/>
              <w:bottom w:val="none" w:sz="0" w:space="0" w:color="FFFFFF"/>
              <w:left w:val="none" w:sz="0" w:space="0" w:color="FFFFFF"/>
              <w:right w:val="none" w:sz="0" w:space="0" w:color="FFFFFF"/>
            </w:tcBorders>
          </w:tcPr>
          <w:p>
            <w:pPr>
              <w:spacing w:before="20" w:after="20"/>
              <w:jc w:val="left"/>
            </w:pPr>
            <w:r>
              <w:rPr>
                <w:rFonts w:ascii="Times New Roman" w:hAnsi="Times New Roman"/>
                <w:b w:val="0"/>
                <w:i w:val="0"/>
                <w:sz w:val="20"/>
              </w:rPr>
              <w:t xml:space="preserve">   Regional GDP (billions $)</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84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2,859.7</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106.2</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2,671.3</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2,980.2</w:t>
            </w:r>
          </w:p>
        </w:tc>
      </w:tr>
      <w:tr>
        <w:tc>
          <w:tcPr>
            <w:tcW w:type="dxa" w:w="8640"/>
            <w:gridSpan w:val="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100" w:after="20"/>
            </w:pPr>
            <w:r>
              <w:rPr>
                <w:rFonts w:ascii="Times New Roman" w:hAnsi="Times New Roman"/>
                <w:b/>
                <w:i w:val="0"/>
                <w:sz w:val="20"/>
              </w:rPr>
              <w:t>Panel D: All Balancing Authorities</w:t>
            </w:r>
          </w:p>
        </w:tc>
      </w:tr>
      <w:tr>
        <w:trPr>
          <w:trHeight w:val="280"/>
        </w:trPr>
        <w:tc>
          <w:tcPr>
            <w:tcW w:type="dxa" w:w="1440"/>
            <w:tcBorders>
              <w:top w:val="none" w:sz="0" w:space="0" w:color="FFFFFF"/>
              <w:bottom w:val="none" w:sz="0" w:space="0" w:color="FFFFFF"/>
              <w:left w:val="none" w:sz="0" w:space="0" w:color="FFFFFF"/>
              <w:right w:val="none" w:sz="0" w:space="0" w:color="FFFFFF"/>
            </w:tcBorders>
          </w:tcPr>
          <w:p>
            <w:pPr>
              <w:spacing w:before="20" w:after="20"/>
              <w:jc w:val="left"/>
            </w:pPr>
            <w:r>
              <w:rPr>
                <w:rFonts w:ascii="Times New Roman" w:hAnsi="Times New Roman"/>
                <w:b w:val="0"/>
                <w:i w:val="0"/>
                <w:sz w:val="20"/>
              </w:rPr>
              <w:t xml:space="preserve">   Avg. hourly demand (MWh)</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252</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71,291</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19,587</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36,647</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116,275</w:t>
            </w:r>
          </w:p>
        </w:tc>
      </w:tr>
      <w:tr>
        <w:trPr>
          <w:trHeight w:val="280"/>
        </w:trPr>
        <w:tc>
          <w:tcPr>
            <w:tcW w:type="dxa" w:w="1440"/>
            <w:tcBorders>
              <w:top w:val="none" w:sz="0" w:space="0" w:color="FFFFFF"/>
              <w:bottom w:val="none" w:sz="0" w:space="0" w:color="FFFFFF"/>
              <w:left w:val="none" w:sz="0" w:space="0" w:color="FFFFFF"/>
              <w:right w:val="none" w:sz="0" w:space="0" w:color="FFFFFF"/>
            </w:tcBorders>
          </w:tcPr>
          <w:p>
            <w:pPr>
              <w:spacing w:before="20" w:after="20"/>
              <w:jc w:val="left"/>
            </w:pPr>
            <w:r>
              <w:rPr>
                <w:rFonts w:ascii="Times New Roman" w:hAnsi="Times New Roman"/>
                <w:b w:val="0"/>
                <w:i w:val="0"/>
                <w:sz w:val="20"/>
              </w:rPr>
              <w:t xml:space="preserve">   Min. hourly demand (MWh)</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252</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53,443</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14,549</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27,449</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82,130</w:t>
            </w:r>
          </w:p>
        </w:tc>
      </w:tr>
      <w:tr>
        <w:trPr>
          <w:trHeight w:val="280"/>
        </w:trPr>
        <w:tc>
          <w:tcPr>
            <w:tcW w:type="dxa" w:w="1440"/>
            <w:tcBorders>
              <w:top w:val="none" w:sz="0" w:space="0" w:color="FFFFFF"/>
              <w:bottom w:val="none" w:sz="0" w:space="0" w:color="FFFFFF"/>
              <w:left w:val="none" w:sz="0" w:space="0" w:color="FFFFFF"/>
              <w:right w:val="none" w:sz="0" w:space="0" w:color="FFFFFF"/>
            </w:tcBorders>
          </w:tcPr>
          <w:p>
            <w:pPr>
              <w:spacing w:before="20" w:after="20"/>
              <w:jc w:val="left"/>
            </w:pPr>
            <w:r>
              <w:rPr>
                <w:rFonts w:ascii="Times New Roman" w:hAnsi="Times New Roman"/>
                <w:b w:val="0"/>
                <w:i w:val="0"/>
                <w:sz w:val="20"/>
              </w:rPr>
              <w:t xml:space="preserve">   Queue MW filed, ≥100 MW</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252</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4,245</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12,802</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0</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154,214</w:t>
            </w:r>
          </w:p>
        </w:tc>
      </w:tr>
      <w:tr>
        <w:trPr>
          <w:trHeight w:val="280"/>
        </w:trPr>
        <w:tc>
          <w:tcPr>
            <w:tcW w:type="dxa" w:w="1440"/>
            <w:tcBorders>
              <w:top w:val="none" w:sz="0" w:space="0" w:color="FFFFFF"/>
              <w:bottom w:val="none" w:sz="0" w:space="0" w:color="FFFFFF"/>
              <w:left w:val="none" w:sz="0" w:space="0" w:color="FFFFFF"/>
              <w:right w:val="none" w:sz="0" w:space="0" w:color="FFFFFF"/>
            </w:tcBorders>
          </w:tcPr>
          <w:p>
            <w:pPr>
              <w:spacing w:before="20" w:after="20"/>
              <w:jc w:val="left"/>
            </w:pPr>
            <w:r>
              <w:rPr>
                <w:rFonts w:ascii="Times New Roman" w:hAnsi="Times New Roman"/>
                <w:b w:val="0"/>
                <w:i w:val="0"/>
                <w:sz w:val="20"/>
              </w:rPr>
              <w:t xml:space="preserve">   Queue MW active (stock)</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252</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190,643</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112,396</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200</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397,859</w:t>
            </w:r>
          </w:p>
        </w:tc>
      </w:tr>
      <w:tr>
        <w:trPr>
          <w:trHeight w:val="280"/>
        </w:trPr>
        <w:tc>
          <w:tcPr>
            <w:tcW w:type="dxa" w:w="1440"/>
            <w:tcBorders>
              <w:top w:val="none" w:sz="0" w:space="0" w:color="FFFFFF"/>
              <w:bottom w:val="none" w:sz="0" w:space="0" w:color="FFFFFF"/>
              <w:left w:val="none" w:sz="0" w:space="0" w:color="FFFFFF"/>
              <w:right w:val="none" w:sz="0" w:space="0" w:color="FFFFFF"/>
            </w:tcBorders>
          </w:tcPr>
          <w:p>
            <w:pPr>
              <w:spacing w:before="20" w:after="20"/>
              <w:jc w:val="left"/>
            </w:pPr>
            <w:r>
              <w:rPr>
                <w:rFonts w:ascii="Times New Roman" w:hAnsi="Times New Roman"/>
                <w:b w:val="0"/>
                <w:i w:val="0"/>
                <w:sz w:val="20"/>
              </w:rPr>
              <w:t xml:space="preserve">   Heating degree days</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252</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324</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361</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0</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1,377</w:t>
            </w:r>
          </w:p>
        </w:tc>
      </w:tr>
      <w:tr>
        <w:trPr>
          <w:trHeight w:val="280"/>
        </w:trPr>
        <w:tc>
          <w:tcPr>
            <w:tcW w:type="dxa" w:w="1440"/>
            <w:tcBorders>
              <w:top w:val="none" w:sz="0" w:space="0" w:color="FFFFFF"/>
              <w:bottom w:val="none" w:sz="0" w:space="0" w:color="FFFFFF"/>
              <w:left w:val="none" w:sz="0" w:space="0" w:color="FFFFFF"/>
              <w:right w:val="none" w:sz="0" w:space="0" w:color="FFFFFF"/>
            </w:tcBorders>
          </w:tcPr>
          <w:p>
            <w:pPr>
              <w:spacing w:before="20" w:after="20"/>
              <w:jc w:val="left"/>
            </w:pPr>
            <w:r>
              <w:rPr>
                <w:rFonts w:ascii="Times New Roman" w:hAnsi="Times New Roman"/>
                <w:b w:val="0"/>
                <w:i w:val="0"/>
                <w:sz w:val="20"/>
              </w:rPr>
              <w:t xml:space="preserve">   Cooling degree days</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252</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162</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209</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0</w:t>
            </w:r>
          </w:p>
        </w:tc>
        <w:tc>
          <w:tcPr>
            <w:tcW w:type="dxa" w:w="1440"/>
            <w:tcBorders>
              <w:top w:val="none" w:sz="0" w:space="0" w:color="FFFFFF"/>
              <w:bottom w:val="none" w:sz="0" w:space="0" w:color="FFFFFF"/>
              <w:left w:val="none" w:sz="0" w:space="0" w:color="FFFFFF"/>
              <w:right w:val="none" w:sz="0" w:space="0" w:color="FFFFFF"/>
            </w:tcBorders>
          </w:tcPr>
          <w:p>
            <w:pPr>
              <w:spacing w:before="20" w:after="20"/>
              <w:jc w:val="right"/>
            </w:pPr>
            <w:r>
              <w:rPr>
                <w:rFonts w:ascii="Times New Roman" w:hAnsi="Times New Roman"/>
                <w:b w:val="0"/>
                <w:i w:val="0"/>
                <w:sz w:val="20"/>
              </w:rPr>
              <w:t>864</w:t>
            </w:r>
          </w:p>
        </w:tc>
      </w:tr>
      <w:tr>
        <w:trPr>
          <w:trHeight w:val="280"/>
        </w:trPr>
        <w:tc>
          <w:tcPr>
            <w:tcW w:type="dxa" w:w="1440"/>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bottom w:val="single" w:sz="6" w:space="0" w:color="000000"/>
            </w:tcBorders>
          </w:tcPr>
          <w:p>
            <w:pPr>
              <w:spacing w:before="20" w:after="20"/>
              <w:jc w:val="left"/>
            </w:pPr>
            <w:r>
              <w:rPr>
                <w:rFonts w:ascii="Times New Roman" w:hAnsi="Times New Roman"/>
                <w:b w:val="0"/>
                <w:i w:val="0"/>
                <w:sz w:val="20"/>
              </w:rPr>
              <w:t xml:space="preserve">   Regional GDP (billions $)</w:t>
            </w:r>
          </w:p>
        </w:tc>
        <w:tc>
          <w:tcPr>
            <w:tcW w:type="dxa" w:w="1440"/>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bottom w:val="single" w:sz="6" w:space="0" w:color="000000"/>
            </w:tcBorders>
          </w:tcPr>
          <w:p>
            <w:pPr>
              <w:spacing w:before="20" w:after="20"/>
              <w:jc w:val="right"/>
            </w:pPr>
            <w:r>
              <w:rPr>
                <w:rFonts w:ascii="Times New Roman" w:hAnsi="Times New Roman"/>
                <w:b w:val="0"/>
                <w:i w:val="0"/>
                <w:sz w:val="20"/>
              </w:rPr>
              <w:t>252</w:t>
            </w:r>
          </w:p>
        </w:tc>
        <w:tc>
          <w:tcPr>
            <w:tcW w:type="dxa" w:w="1440"/>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bottom w:val="single" w:sz="6" w:space="0" w:color="000000"/>
            </w:tcBorders>
          </w:tcPr>
          <w:p>
            <w:pPr>
              <w:spacing w:before="20" w:after="20"/>
              <w:jc w:val="right"/>
            </w:pPr>
            <w:r>
              <w:rPr>
                <w:rFonts w:ascii="Times New Roman" w:hAnsi="Times New Roman"/>
                <w:b w:val="0"/>
                <w:i w:val="0"/>
                <w:sz w:val="20"/>
              </w:rPr>
              <w:t>3,701.1</w:t>
            </w:r>
          </w:p>
        </w:tc>
        <w:tc>
          <w:tcPr>
            <w:tcW w:type="dxa" w:w="1440"/>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bottom w:val="single" w:sz="6" w:space="0" w:color="000000"/>
            </w:tcBorders>
          </w:tcPr>
          <w:p>
            <w:pPr>
              <w:spacing w:before="20" w:after="20"/>
              <w:jc w:val="right"/>
            </w:pPr>
            <w:r>
              <w:rPr>
                <w:rFonts w:ascii="Times New Roman" w:hAnsi="Times New Roman"/>
                <w:b w:val="0"/>
                <w:i w:val="0"/>
                <w:sz w:val="20"/>
              </w:rPr>
              <w:t>1,839.6</w:t>
            </w:r>
          </w:p>
        </w:tc>
        <w:tc>
          <w:tcPr>
            <w:tcW w:type="dxa" w:w="1440"/>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bottom w:val="single" w:sz="6" w:space="0" w:color="000000"/>
            </w:tcBorders>
          </w:tcPr>
          <w:p>
            <w:pPr>
              <w:spacing w:before="20" w:after="20"/>
              <w:jc w:val="right"/>
            </w:pPr>
            <w:r>
              <w:rPr>
                <w:rFonts w:ascii="Times New Roman" w:hAnsi="Times New Roman"/>
                <w:b w:val="0"/>
                <w:i w:val="0"/>
                <w:sz w:val="20"/>
              </w:rPr>
              <w:t>1,782.7</w:t>
            </w:r>
          </w:p>
        </w:tc>
        <w:tc>
          <w:tcPr>
            <w:tcW w:type="dxa" w:w="1440"/>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bottom w:val="single" w:sz="6" w:space="0" w:color="000000"/>
            </w:tcBorders>
          </w:tcPr>
          <w:p>
            <w:pPr>
              <w:spacing w:before="20" w:after="20"/>
              <w:jc w:val="right"/>
            </w:pPr>
            <w:r>
              <w:rPr>
                <w:rFonts w:ascii="Times New Roman" w:hAnsi="Times New Roman"/>
                <w:b w:val="0"/>
                <w:i w:val="0"/>
                <w:sz w:val="20"/>
              </w:rPr>
              <w:t>6,538.7</w:t>
            </w:r>
          </w:p>
        </w:tc>
      </w:tr>
    </w:tbl>
    <w:p>
      <w:pPr>
        <w:spacing w:before="120"/>
      </w:pPr>
      <w:r>
        <w:rPr>
          <w:rFonts w:ascii="Times New Roman" w:hAnsi="Times New Roman"/>
          <w:i/>
          <w:sz w:val="18"/>
        </w:rPr>
        <w:t>Notes: Sample period January 2019–December 2025. Unit of observation is balancing authority × calendar month (84 months per BA; 252 total observations). Avg. hourly demand is the mean of all hourly EIA Form 930 readings within a BA-month. Min. hourly demand is the lowest single hourly reading within a BA-month. Queue MW filed (≥100 MW) is total megawatts of new interconnection requests filed by projects at or above 100 MW in a given BA-month, from LBNL Queued Up (2024 edition). Queue MW active (stock) is the cumulative megawatts ever filed through a given month. HDD and CDD from NOAA NCEI. Regional GDP is annual real GDP by state from BEA regional accounts (2017 dollars), assigned to balancing authorities by geographic crosswalk. MISO queue filed standard deviation reflects a large filing spike in 2022 associated with queue reform dynamics rather than underlying demand pressure; see Section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