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AI Infrastructure &amp; Regional Electricity Demand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A Forecasting Framework for U.S. Grid Stress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Alan Lamb  |  Lambcast Applied Economics  |  M.S. Applied Economics, University of Maryland  |  2026</w:t>
      </w:r>
    </w:p>
    <w:p>
      <w:pPr>
        <w:spacing w:after="32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Master Project Document  —  Version 5.0  |  Updated March 2026</w:t>
      </w:r>
    </w:p>
    <w:p>
      <w:pPr>
        <w:pBdr>
          <w:left w:val="single" w:color="E8A020" w:sz="16" w:space="12"/>
        </w:pBdr>
        <w:spacing w:after="2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Note (v5, March 2026): </w:t>
      </w:r>
      <w:r>
        <w:rPr>
          <w:rFonts w:ascii="Arial" w:cs="Arial" w:eastAsia="Arial" w:hAnsi="Arial"/>
          <w:sz w:val="22"/>
          <w:szCs w:val="22"/>
        </w:rPr>
        <w:t xml:space="preserve">Original design called for a single DiD causal identification strategy. Research confirmed that project-level large load queue data does not exist publicly for PJM, ERCOT, or MISO. The methodology has been expanded to a four-layer identification strategy: panel regression with wild cluster bootstrap, synthetic control, DiD with low-exposure controls, and narrative validation. The data gap is documented as a policy finding. All pipeline, modeling, and dashboard work proceeds as planned.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This project quantifies the relationship between data center investment and regional electricity demand growth, then builds a forward-looking grid stress forecast for three major U.S. electricity markets: PJM (Mid-Atlantic/Midwest), ERCOT (Texas), and MISO (Southeast/Midwest).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paper combines a four-layer identification strategy with a production-grade forecasting pipeline. It documents — as an explicit research finding — that causal identification of the data center demand effect is not currently possible with public data alone, explains what data would be required, and argues this gap represents a significant policy problem. The forecasting model uses the best available proxy data (generation interconnection queues) to project regional grid stress from the existing investment pipeline.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project serves two audiences simultaneously. For Amazon Applied Science and industry hiring teams, it demonstrates end-to-end ownership of a production-style data pipeline. For research-oriented teams, it demonstrates research-grade thinking, multi-method identification, honest documentation of identification limits, and a rigorous forecasting methodology.</w:t>
      </w:r>
    </w:p>
    <w:p>
      <w:pPr>
        <w:pStyle w:val="Heading1"/>
      </w:pPr>
      <w:r>
        <w:t xml:space="preserve">Core Research Question</w:t>
      </w:r>
    </w:p>
    <w:p>
      <w:pPr>
        <w:pBdr>
          <w:left w:val="single" w:color="2E75B6" w:sz="12" w:space="12"/>
        </w:pBdr>
        <w:spacing w:after="200"/>
        <w:ind w:left="480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How much has data center investment driven regional electricity demand growth — and can we build a model that forecasts future grid stress from the existing investment pipeline?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What This Paper Claims and Does Not Claim</w:t>
      </w:r>
    </w:p>
    <w:p>
      <w:pPr>
        <w:pStyle w:val="Heading2"/>
      </w:pPr>
      <w:r>
        <w:t xml:space="preserve">Claims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 center investment is a primary driver of electricity demand growth in PJM, ERCOT, and MISO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generation interconnection queue is a measurable leading indicator of future grid stress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four-layer identification strategy produces a credible estimated range for the demand effect, even without clean causal identification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forecasting model using queue data, weather controls, and regional economic indicators can project regional demand growth with quantifiable uncertainty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Causal identification of the per-facility demand effect requires project-level load data that does not currently exist in public form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Does Not Claim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precise causal estimate of MW demand per data center (data does not support this)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That the generation queue directly measures data center load (acknowledged proxy)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Findings that generalize beyond the three target markets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Key Early Findings (Phase 1 — March 2026)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ERCOT demand grew approximately 27% from 2019 to 2025 (indexed, 2019=100), while PJM and MISO remained essentially flat at roughly 102–105.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ERCOT interconnection queue filings reached 97 GW in 2024 and 93 GW in 2023 — the two largest years on record. Total ERCOT filings 2019–2024: 403 GW.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Battery storage emerged as the dominant new generation type in ERCOT from 2022 onward, reflecting grid response to data center reliability demands.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MISO shows an anomalous 185 GW spike in 2022 driven by queue reform backlog processing — annotated in charts and documented here.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analysis panel (data/panel_base.csv) is complete: 252 rows, 3 BAs x 84 months, with demand, queue flow/stock, and 12/18/24-month lag variables.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Identification Strategy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paper uses four complementary methods to build a credible estimated range for the demand effect of data center investment. No single method provides clean causal identification with available public data. The value of the multi-method approach is that convergence across methods — with the expected ordering of estimates — confirms the lower bound story and provides a defensible range.</w:t>
      </w:r>
    </w:p>
    <w:p>
      <w:pPr>
        <w:pBdr>
          <w:left w:val="single" w:color="2E75B6" w:sz="16" w:space="12"/>
        </w:pBdr>
        <w:spacing w:after="2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ordering: </w:t>
      </w:r>
      <w:r>
        <w:rPr>
          <w:rFonts w:ascii="Arial" w:cs="Arial" w:eastAsia="Arial" w:hAnsi="Arial"/>
          <w:sz w:val="22"/>
          <w:szCs w:val="22"/>
        </w:rPr>
        <w:t xml:space="preserve">Synthetic control (lowest) → Panel regression (middle) → DiD with clean controls (highest). Convergence with this ordering confirms the donor contamination lower bound story.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Layer 1: Panel Regression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conditional association estimate of regional electricity demand on lagged queue investment, with BA and month-year fixed effects and weather and GDP controls.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Primary regressor: queue_mw_filed_large (100MW+ projects). MW threshold determined by histogram of project size distribution — not chosen arbitrarily.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Primary lag: 18 months. Robustness checks at 12, 24, and 30 months.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Controls: HDD, CDD, regional GDP.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Fixed effects: BA-level and month-year.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Robustness check: specification without GDP, with BA-specific linear and quadratic time trends.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Inference: wild cluster bootstrap via Stata's boottest package — not asymptotic clustered SEs. With only 3 clusters, asymptotic inference is unreliable. The minimum achievable p-value with 3 clusters is 0.125, reported explicitly as a finding rather than hidden.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Layer 2: Synthetic Control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ERCOT treated as the treated unit. PJM and MISO as the baseline donor pool. Treatment date determined by Bai-Perron structural break test applied to ERCOT demand.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Acknowledged limitation: PJM and MISO are themselves experiencing data center investment — they are contaminated donors. The synthetic control gap therefore provides a lower bound on the true treatment effect, not a precise causal estimate.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lower bound framing is a feature, not a bug — it is explicitly stated and used to bound the estimated range.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Donor pool will be expanded using LBL queue data to identify low-exposure ISOs (ISONE, NYISO, SPP) as cleaner controls for robustness.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Layer 3: DiD with Low-Exposure Controls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Difference-in-differences using BAs classified as low-exposure based on cumulative 100MW+ queue filings from the LBL dataset.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Low-exposure candidate BAs: ISONE and NYISO as primary candidates, identified from LBL queue 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Treatment group: ERCO. Control group: low-exposure BAs with verified parallel pre-trends.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addresses the donor contamination problem in Layer 2 by using genuinely low-exposure controls rather than PJM and MISO.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Layer 4: Narrative Validation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Known large ERCOT data center energizations overlaid on the synthetic control gap plot. Provides qualitative confirmation that the estimated treatment effect aligns with documented real-world events.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Robustness Checks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four-panel robustness table will be produced covering all sensitivity dimensions. Every specification considered will be reported — no selective reporting.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varies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 sensitivity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 18, 24, 30-month lags on primary queue variable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MW threshold sensitivity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50MW, 100MW, 200MW project size cutoffs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specification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With/without GDP; with BA linear and quadratic time trends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variable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(MW filed) vs stock (cumulative active MW); all projects vs large only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Paper Structure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Abstract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Introduction — motivation, data center investment boom, grid stress stakes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Related Literature — Johnston/Liu/Yang supply-side queue work; energy demand forecasting; data center load literature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 — EIA Form 930, UMD/LBL queue data, NOAA weather, BEA GDP; honest accounting of what data does and does not exist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Data Gap — why clean causal identification is not currently possible; what data would be needed; policy implications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Empirical Strategy — four-layer logic stated explicitly before results, so the reader understands why multiple methods are used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Descriptive Evidence — regional demand growth patterns; queue investment trends; visual co-movement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Panel Regression — conditional association estimate, wild cluster bootstrap inference, robustness table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Synthetic Control — ERCOT gap plot, lower bound framing, Bai-Perron break date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DiD with Low-Exposure Controls — parallel trends test, treatment effect estimate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Synthesis — estimated range across methods, convergence discussion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Forecasting Model — model stack, feature engineering, validation, regional grid stress forecasts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Conclusion — policy implications, data disclosure recommendations, future work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References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Forecasting Model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association estimates from the panel regression feed a forward-looking pipeline projecting regional grid stress. Three models are benchmarked: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Baseline: ARIMA with weather and economic controls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Intermediate: Prophet for seasonality and holidays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Advanced: XGBoost with full feature set from queue pipeline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Scale layer: PySpark for distributed feature engineering on the full EIA hourly dataset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Validation: out-of-sample forecast evaluation, RMSE and MAE benchmarks across models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Output: regional grid stress forecasts by BA with uncertainty bounds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Panel Construction Decisions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Time frequency: </w:t>
      </w:r>
      <w:r>
        <w:rPr>
          <w:rFonts w:ascii="Arial" w:cs="Arial" w:eastAsia="Arial" w:hAnsi="Arial"/>
          <w:sz w:val="24"/>
          <w:szCs w:val="24"/>
        </w:rPr>
        <w:t xml:space="preserve">Monthly. With only 3 BAs, more time periods helps. Monthly gives 84 periods per BA (2019–2025) versus 28 quarterly.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Primary lag: </w:t>
      </w:r>
      <w:r>
        <w:rPr>
          <w:rFonts w:ascii="Arial" w:cs="Arial" w:eastAsia="Arial" w:hAnsi="Arial"/>
          <w:sz w:val="24"/>
          <w:szCs w:val="24"/>
        </w:rPr>
        <w:t xml:space="preserve">18 months, reflecting the 2–4 year data center build timeline. Robustness checks at 12, 24, and 30 months.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Queue variables: </w:t>
      </w:r>
      <w:r>
        <w:rPr>
          <w:rFonts w:ascii="Arial" w:cs="Arial" w:eastAsia="Arial" w:hAnsi="Arial"/>
          <w:sz w:val="24"/>
          <w:szCs w:val="24"/>
        </w:rPr>
        <w:t xml:space="preserve">Both flow (queue_mw_filed — MW filed in that month) and stock (queue_mw_active — cumulative MW ever filed). Both retained and tested.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MW threshold: </w:t>
      </w:r>
      <w:r>
        <w:rPr>
          <w:rFonts w:ascii="Arial" w:cs="Arial" w:eastAsia="Arial" w:hAnsi="Arial"/>
          <w:sz w:val="24"/>
          <w:szCs w:val="24"/>
        </w:rPr>
        <w:t xml:space="preserve">All projects retained in main variable. 100MW+ projects tracked separately in queue_mw_filed_large. Threshold determined by project size histogram, not chosen arbitrarily.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 standardization: </w:t>
      </w:r>
      <w:r>
        <w:rPr>
          <w:rFonts w:ascii="Arial" w:cs="Arial" w:eastAsia="Arial" w:hAnsi="Arial"/>
          <w:sz w:val="24"/>
          <w:szCs w:val="24"/>
        </w:rPr>
        <w:t xml:space="preserve">LBNL uses 'ERCOT', EIA uses 'ERCO'. All BAs standardized to EIA codes throughout the panel.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cleaning: </w:t>
      </w:r>
      <w:r>
        <w:rPr>
          <w:rFonts w:ascii="Arial" w:cs="Arial" w:eastAsia="Arial" w:hAnsi="Arial"/>
          <w:sz w:val="24"/>
          <w:szCs w:val="24"/>
        </w:rPr>
        <w:t xml:space="preserve">LBNL q_date stored as Excel serial numbers — converted via pd.to_datetime(unit='D', origin='1899-12-30'). EIA has three corrupt PJM rows from 2021-10-19 with billion-MWh values — filtered with a 500,000 MWh cap.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Data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EIA Form 930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IN HAND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184,102 rows. Hourly demand PJM/ERCO/MISO, 2019–2025. Core outcome variable.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UMD PJM Queue 2008–2024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IN HAND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7,492 rows, 121 columns. NSF-funded. Generation-side. Extends to 2024.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LBL Queued Up 2024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IN HAND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36,441 rows, 31 columns, 39 tabs. Extracted to data/lbnl_queue_data.csv. 16,093 rows after filtering to PJM/MISO/ERCOT and removing epoch dates.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Panel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BUILT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data/panel_base.csv — 252 rows, 17 columns, 3 BAs x 84 months. Demand + queue flow/stock + lags at 12/18/24 months.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NOAA Weather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NCEI Climate Data Online API. HDD/CDD by station. Not yet pulled.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 Regional GDP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 regional economic accounts. Annual GDP by metro area. Not yet pulled.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ERCOT Large Load Queue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NOT USABLE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PDFs only. Documented as data gap finding.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PJM Large Load Queue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NOT USABLE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public dataset. Generator queue is proxy.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MISO Large Load Queue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NOT USABLE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blocked. Same proxy approach.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Master Project Checklist</w:t>
      </w:r>
    </w:p>
    <w:p>
      <w:pPr>
        <w:pStyle w:val="Heading2"/>
      </w:pPr>
      <w:r>
        <w:t xml:space="preserve">Phase 1: Data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1400"/>
        <w:gridCol w:w="13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for EIA API 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EIA Form 930 — 184,102 rows, PJM/ERCO/MISO, 2019–2025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UMD PJM queue dataset (7,492 rows, 121 cols, 2008–2024)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and explore LBL Queued Up 2024 — extract tab 03 to 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for NOAA NCEI API key and pull daily weather (HDD/CDD)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BEA regional GDP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BigQuery project and load EIA + queue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geographic crosswalk: BA to county/metro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electricity, queue, weather, and economic data into analysis panel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1.10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explore_eia.py — 3 demand charts committed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1.10b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explore_queue.py — 3 queue charts committed with MISO annotation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1.10c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build_panel.py — 252-row BA x month panel saved to data/panel_base.csv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1.11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and publish Post 1: data sourcing writeup + exploratory charts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1.12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the data gap: what load-side queue data does not exist and why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Phase 2: Identification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1400"/>
        <w:gridCol w:w="13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histogram of project size distribution — determine MW threshold empirically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NOAA weather data and compute HDD/CDD by BA-month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BEA regional GDP and merge onto panel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Bai-Perron structural break test on ERCOT demand — determine treatment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regression (Layer 1): demand on queue_mw_filed_large lag18 + controls, BA + month-year FE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 cluster bootstrap inference via Stata boottest — report minimum p-value of 0.125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Four-panel robustness table: lag sensitivity, MW threshold, control spec, queue variable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control (Layer 2): ERCOT vs PJM+MISO donor pool, gap plot, lower bound framing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donor pool using LBL data — classify low-exposure BAs (ISONE, NYISO candidates)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2.10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 with low-exposure controls (Layer 3): parallel trends test, treatment effect estimate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2.11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Narrative validation (Layer 4): overlay known ERCOT data center energizations on gap plot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2.12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data gap section: policy implications, disclosure recommendations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and publish Post 2: methodology writeup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2.14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and publish Post 3: preliminary results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Phase 3: Forecasting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1400"/>
        <w:gridCol w:w="13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 features from queue pipeline for forecasting (lagged MW, ramp rate)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ARIMA baseline with weather + economic controls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Prophet model — handle seasonality and holidays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XGBoost model with full feature set from queue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all three models: RMSE, MAE, out-of-sample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 regional grid stress forecasts with uncertainty bounds by 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and publish Post 4: forecasting model results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Phase 4: Pipeline, Dashboard, Paper &amp; Publication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1400"/>
        <w:gridCol w:w="13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PySpark pipeline for full EIA hourly dataset at scale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Hex dashboard: regional forecast by balancing authority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full paper draft: all sections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paper to NBER working paper conventions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to SSRN as working paper; obtain citable 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final PDF on lambcast.net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and publish Post 5: SSRN submission + dashboard 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project to resume and LinkedIn under Applied Research Projects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4.9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Chenyu Yang (UMD) with paper and results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4.10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paper to Aparna Mathur (AEI) and relevant Amazon/Anthropic contacts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Tool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language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pulls, data cleaning, forecasting models, PySpark. v3.12 active.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Econometrics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regression, wild cluster bootstrap (boottest), synthetic control, DiD.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/ BigQuery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 layer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and querying of merged panel at scale.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PySpark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compute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engineering on 100M+ row EIA hourly dataset.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/ fixest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High-dimensional FE regressions if preferred over Stata.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regional forecast visualization.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branch workflow — work on branches, merge to main via pull request.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paper submission for citable URL.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Why This Project Is Strategically Distinctive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Four-layer identification strategy produces a credible estimated range even without clean causal identification — more sophisticated than a single method with overclaimed precision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Honest documentation of identification limits — explicitly stating the minimum achievable p-value of 0.125 with 3 clusters is a mark of research integrity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Real data gap as policy finding — absence of project-level load queue data across markets covering ~70% of U.S. electricity load is documented and argued as regulatory failure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Timely — ERCOT queue filings hit 97 GW in 2024; PJM capacity prices jumped from $30 to $330/MW-day; this is an active financial and regulatory crisis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Dual signal — Amazon sees the pipeline and dashboard; Anthropic and research teams see the multi-method identification and honest methodology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End-to-end — raw API ingestion → panel construction → four identification layers → forecasting model → dashboard → published paper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Network &amp; Outreach Targets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Chenyu Yang, UMD Economics — co-author of UMD interconnection queue dataset; email when Phase 2 results ready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Aparna Mathur, AEI — send final paper when complete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Amazon Applied Science recruiting — emphasize pipeline, forecasting, BigQuery, PySpark, dashboard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Anthropic Economics team — paper + SSRN URL; emphasize multi-method identification and honest methodology</w:t>
      </w:r>
    </w:p>
    <w:p>
      <w:pPr>
        <w:spacing w:after="120"/>
      </w:pPr>
      <w:r>
        <w:t xml:space="preserve"/>
      </w:r>
    </w:p>
    <w:p>
      <w:pPr>
        <w:pBdr>
          <w:top w:val="single" w:color="CCCCCC" w:sz="4" w:space="8"/>
        </w:pBdr>
        <w:spacing w:before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version 5.0  |  Updated March 2026  |  lambcast.net  |  github.com/Lambcast/ai-infrastructure-regional-electricity-demand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before="36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2026-03-12T15:20:37.205Z</dcterms:created>
  <dcterms:modified xsi:type="dcterms:W3CDTF">2026-03-12T15:20:37.206Z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