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8"/>
          <w:szCs w:val="48"/>
        </w:rPr>
        <w:t xml:space="preserve">AI Infrastructure &amp; Regional Electricity Demand</w:t>
      </w:r>
    </w:p>
    <w:p>
      <w:pPr>
        <w:spacing w:after="80"/>
        <w:jc w:val="center"/>
      </w:pPr>
      <w:r>
        <w:rPr>
          <w:rFonts w:ascii="Arial" w:cs="Arial" w:eastAsia="Arial" w:hAnsi="Arial"/>
          <w:color w:val="2E75B6"/>
          <w:sz w:val="28"/>
          <w:szCs w:val="28"/>
        </w:rPr>
        <w:t xml:space="preserve">Project Orientation &amp; Research Logic</w:t>
      </w:r>
    </w:p>
    <w:p>
      <w:pPr>
        <w:spacing w:after="480"/>
        <w:jc w:val="center"/>
      </w:pPr>
      <w:r>
        <w:rPr>
          <w:rFonts w:ascii="Arial" w:cs="Arial" w:eastAsia="Arial" w:hAnsi="Arial"/>
          <w:i/>
          <w:iCs/>
          <w:color w:val="666666"/>
          <w:sz w:val="20"/>
          <w:szCs w:val="20"/>
        </w:rPr>
        <w:t xml:space="preserve">Alan Lamb • Lambcast Applied Economics • M.S. Applied Economics, University of Maryland • 2026</w:t>
      </w:r>
    </w:p>
    <w:p>
      <w:pPr>
        <w:pStyle w:val="Heading1"/>
      </w:pPr>
      <w:r>
        <w:t xml:space="preserve">1. What Problem Are We Actually Solving?</w:t>
      </w:r>
    </w:p>
    <w:p>
      <w:pPr>
        <w:spacing w:after="160"/>
      </w:pPr>
      <w:r>
        <w:t xml:space="preserve">For roughly 20 years, electricity demand in the United States was essentially flat. Efficiency gains offset population growth, and grid operators got comfortable planning for a world where load barely changed year over year. That assumption broke around 2022.</w:t>
      </w:r>
    </w:p>
    <w:p>
      <w:pPr>
        <w:spacing w:after="160"/>
      </w:pPr>
      <w:r>
        <w:t xml:space="preserve">Starting in 2022–2023, demand began spiking in specific regions — not across the board, but concentrated in places where data center investment was accelerating fastest. The numbers are stark: ERCOT’s interconnection queue grew roughly 300% in a single year. PJM capacity prices jumped from $30 to $330 per MW-day — an eleven-fold increase. Utilities and grid operators that had been planning for flat demand suddenly faced the question: how much power do we actually need to build, and when?</w:t>
      </w:r>
    </w:p>
    <w:p>
      <w:pPr>
        <w:spacing w:after="160"/>
      </w:pPr>
      <w:r>
        <w:t xml:space="preserve">The people who need to answer that question — grid operators, utilities, regulators, investors, hyperscalers themselves — currently have very limited public tools to do it rigorously. Consulting firms charge millions for proprietary models. This project builds a transparent, publicly available, research-grade version of that answer.</w:t>
      </w:r>
    </w:p>
    <w:p>
      <w:pPr>
        <w:pStyle w:val="Heading1"/>
      </w:pPr>
      <w:r>
        <w:t xml:space="preserve">2. The Core Research Question</w:t>
      </w:r>
    </w:p>
    <w:p>
      <w:pPr>
        <w:pBdr>
          <w:left w:val="single" w:color="2E75B6" w:sz="12" w:space="12"/>
        </w:pBdr>
        <w:spacing w:after="160"/>
        <w:ind w:left="480"/>
      </w:pPr>
      <w:r>
        <w:rPr>
          <w:i/>
          <w:iCs/>
          <w:sz w:val="26"/>
          <w:szCs w:val="26"/>
        </w:rPr>
        <w:t xml:space="preserve">How much has data center investment driven regional electricity demand growth — and can we build a model that forecasts future grid stress from the existing investment pipeline?</w:t>
      </w:r>
    </w:p>
    <w:p>
      <w:pPr>
        <w:spacing w:after="160"/>
      </w:pPr>
      <w:r>
        <w:t xml:space="preserve"/>
      </w:r>
    </w:p>
    <w:p>
      <w:pPr>
        <w:spacing w:after="160"/>
      </w:pPr>
      <w:r>
        <w:t xml:space="preserve">This question breaks into two parts deliberately. The first is descriptive and causal: what has already happened, and why? The second is forward-looking: given what we can observe today, what is likely to happen next? Each part requires different methods and different data, and being clear about which question you are answering at any given moment is one of the core intellectual disciplines of applied economics.</w:t>
      </w:r>
    </w:p>
    <w:p>
      <w:pPr>
        <w:pStyle w:val="Heading1"/>
      </w:pPr>
      <w:r>
        <w:t xml:space="preserve">3. The Key Data Insight: The Interconnection Queue</w:t>
      </w:r>
    </w:p>
    <w:p>
      <w:pPr>
        <w:spacing w:after="160"/>
      </w:pPr>
      <w:r>
        <w:t xml:space="preserve">The central analytical asset of this project is the interconnection queue. When any entity — a data center developer, a solar farm, a wind project — wants to connect to the electrical grid, they must file an interconnection request with the regional grid operator. That filing is a legally binding economic commitment. It has a specific location, a MW size, and a precise date. It is not a press release, not an announcement, not a rumor. It is a real financial signal.</w:t>
      </w:r>
    </w:p>
    <w:p>
      <w:pPr>
        <w:spacing w:after="160"/>
      </w:pPr>
      <w:r>
        <w:t xml:space="preserve">This matters because it means the queue is a leading indicator. The filing shows up in public data before the facility is built and before the demand hits the grid. If you can measure queue activity today, you have a window into future grid stress. That is what makes this a forecasting asset, not just a historical record.</w:t>
      </w:r>
    </w:p>
    <w:p>
      <w:pPr>
        <w:spacing w:after="160"/>
      </w:pPr>
      <w:r>
        <w:t xml:space="preserve">There is an important caveat: the publicly available queue data is generation-side, not load-side. It records projects trying to connect supply to the grid (solar, wind, gas, batteries), not demand from data centers directly. The theory connecting them is that regions attracting large data center investment also attract large generation investment to serve them. The queue is a proxy, and the paper is explicit about that.</w:t>
      </w:r>
    </w:p>
    <w:p>
      <w:pPr>
        <w:pStyle w:val="Heading1"/>
      </w:pPr>
      <w:r>
        <w:t xml:space="preserve">4. Why We Cannot Simply Claim Causation</w:t>
      </w:r>
    </w:p>
    <w:p>
      <w:pPr>
        <w:spacing w:after="160"/>
      </w:pPr>
      <w:r>
        <w:t xml:space="preserve">A naive approach would look at ERCOT — where both the queue and electricity demand grew rapidly — and conclude that one caused the other. That inference is not defensible. A dozen other things changed in the same period: the Texas economy grew, extreme weather events increased, industrial activity expanded. Without isolating the data center effect from all of those confounds, the correlation is not a causal estimate.</w:t>
      </w:r>
    </w:p>
    <w:p>
      <w:pPr>
        <w:spacing w:after="160"/>
      </w:pPr>
      <w:r>
        <w:t xml:space="preserve">The original project design called for a difference-in-differences (DiD) approach to address this. DiD compares regions that received large queue filings to comparable regions that did not, before and after the filings. When done correctly, it differences out everything that affected both groups equally, leaving only the treatment effect.</w:t>
      </w:r>
    </w:p>
    <w:p>
      <w:pPr>
        <w:spacing w:after="160"/>
      </w:pPr>
      <w:r>
        <w:t xml:space="preserve">The problem is that the data required to do this cleanly does not exist publicly. Project-level large load queue data — the filings from data centers specifically — is not available as a public downloadable dataset for PJM, ERCOT, or MISO. Attempting to reconstruct it from SEC filings, trade press, and IRP documents would introduce exactly the kind of measurement error that undermines the identification claim.</w:t>
      </w:r>
    </w:p>
    <w:p>
      <w:pPr>
        <w:spacing w:after="160"/>
      </w:pPr>
      <w:r>
        <w:t xml:space="preserve">Rather than overclaim, the paper documents this as an explicit research finding. The absence of project-level load queue data across the three markets accounting for roughly 70% of U.S. electricity load, during the fastest period of data center investment in history, is itself a policy-relevant result. The paper argues for mandatory project-level public disclosure as a regulatory recommendation.</w:t>
      </w:r>
    </w:p>
    <w:p>
      <w:pPr>
        <w:pStyle w:val="Heading1"/>
      </w:pPr>
      <w:r>
        <w:t xml:space="preserve">5. What the Paper Actually Does</w:t>
      </w:r>
    </w:p>
    <w:p>
      <w:pPr>
        <w:pStyle w:val="Heading2"/>
      </w:pPr>
      <w:r>
        <w:t xml:space="preserve">Phase 1: Descriptive Analysis</w:t>
      </w:r>
    </w:p>
    <w:p>
      <w:pPr>
        <w:spacing w:after="160"/>
      </w:pPr>
      <w:r>
        <w:t xml:space="preserve">Before any modeling, the paper establishes the empirical relationship between queue investment and demand growth through careful descriptive evidence. Charts, regional comparisons, and visual co-movement. This is not a lesser form of analysis — it is the foundation that makes everything else credible.</w:t>
      </w:r>
    </w:p>
    <w:p>
      <w:pPr>
        <w:pStyle w:val="Heading2"/>
      </w:pPr>
      <w:r>
        <w:t xml:space="preserve">Phase 2: Panel Regression (Association, Not Causation)</w:t>
      </w:r>
    </w:p>
    <w:p>
      <w:pPr>
        <w:spacing w:after="160"/>
      </w:pPr>
      <w:r>
        <w:t xml:space="preserve">A panel regression of regional electricity demand on lagged queue investment, controlling for temperature, regional GDP, and industrial employment. Fixed effects at the balancing authority and time-period level. The resulting coefficient is presented explicitly as a descriptive association parameter — not a causal estimate — with honest discussion of what identification would require.</w:t>
      </w:r>
    </w:p>
    <w:p>
      <w:pPr>
        <w:pStyle w:val="Heading2"/>
      </w:pPr>
      <w:r>
        <w:t xml:space="preserve">Phase 3: Forecasting Model</w:t>
      </w:r>
    </w:p>
    <w:p>
      <w:pPr>
        <w:spacing w:after="160"/>
      </w:pPr>
      <w:r>
        <w:t xml:space="preserve">The association from Phase 2 feeds a forward-looking pipeline. Three models are benchmarked: ARIMA as a baseline, Prophet for seasonality, and XGBoost with the full feature set from the queue pipeline. Output is regional grid stress forecasts by balancing authority with explicit uncertainty bounds. This is the primary deliverable for industry audiences.</w:t>
      </w:r>
    </w:p>
    <w:p>
      <w:pPr>
        <w:pStyle w:val="Heading2"/>
      </w:pPr>
      <w:r>
        <w:t xml:space="preserve">Phase 4: Pipeline, Dashboard, and Publication</w:t>
      </w:r>
    </w:p>
    <w:p>
      <w:pPr>
        <w:spacing w:after="160"/>
      </w:pPr>
      <w:r>
        <w:t xml:space="preserve">PySpark for distributed feature engineering, a Hex dashboard for interactive regional visualization, a full NBER-style working paper submitted to SSRN for a permanent citable URL, and five blog posts on lambcast.net documenting the build process.</w:t>
      </w:r>
    </w:p>
    <w:p>
      <w:pPr>
        <w:pStyle w:val="Heading1"/>
      </w:pPr>
      <w:r>
        <w:t xml:space="preserve">6. Why This Project Is Strategically Valuable</w:t>
      </w:r>
    </w:p>
    <w:p>
      <w:pPr>
        <w:pStyle w:val="Heading2"/>
      </w:pPr>
      <w:r>
        <w:t xml:space="preserve">For Amazon Applied Science</w:t>
      </w:r>
    </w:p>
    <w:p>
      <w:pPr>
        <w:spacing w:after="80"/>
      </w:pPr>
      <w:r>
        <w:t xml:space="preserve">The project demonstrates end-to-end ownership of a production-style data pipeline: raw API ingestion, data cleaning, panel regression, three forecasting models benchmarked against each other, distributed computing with PySpark, cloud warehouse querying via BigQuery, and an interactive Hex dashboard. Python and SQL are the primary implementation languages. This mirrors what Applied Scientists at Amazon actually do.</w:t>
      </w:r>
    </w:p>
    <w:p>
      <w:pPr>
        <w:pStyle w:val="Heading2"/>
      </w:pPr>
      <w:r>
        <w:t xml:space="preserve">For Anthropic and Research-Oriented Teams</w:t>
      </w:r>
    </w:p>
    <w:p>
      <w:pPr>
        <w:spacing w:after="80"/>
      </w:pPr>
      <w:r>
        <w:t xml:space="preserve">Honest documentation of identification limits is a mark of research sophistication that separates serious applied economists from those who overclaim. The explicit data gap analysis is a genuine policy contribution. The SSRN working paper provides a permanent citable URL that signals the work meets research standards.</w:t>
      </w:r>
    </w:p>
    <w:p>
      <w:pPr>
        <w:pStyle w:val="Heading2"/>
      </w:pPr>
      <w:r>
        <w:t xml:space="preserve">The Combination Is Rare</w:t>
      </w:r>
    </w:p>
    <w:p>
      <w:pPr>
        <w:spacing w:after="160"/>
      </w:pPr>
      <w:r>
        <w:t xml:space="preserve">Most graduate students can produce either a clean empirical paper or a working pipeline. Producing both simultaneously — with honest methodology and a real policy contribution — is uncommon at the graduate level and directly addresses what both target employers are looking for.</w:t>
      </w:r>
    </w:p>
    <w:p>
      <w:pPr>
        <w:pStyle w:val="Heading1"/>
      </w:pPr>
      <w:r>
        <w:t xml:space="preserve">7. The Three Workspaces</w:t>
      </w:r>
    </w:p>
    <w:p>
      <w:pPr>
        <w:spacing w:after="160"/>
      </w:pPr>
      <w:r>
        <w:t xml:space="preserve">This project is managed across three distinct conversation workspaces to keep different kinds of thinking separate and productive:</w:t>
      </w:r>
    </w:p>
    <w:p>
      <w:pPr>
        <w:pStyle w:val="ListParagraph"/>
        <w:numPr>
          <w:ilvl w:val="0"/>
          <w:numId w:val="2"/>
        </w:numPr>
        <w:spacing w:after="100"/>
      </w:pPr>
      <w:r>
        <w:rPr>
          <w:b/>
          <w:bCs/>
        </w:rPr>
        <w:t xml:space="preserve">Main Chat: </w:t>
      </w:r>
      <w:r>
        <w:t xml:space="preserve">Project management, progress tracking, what’s next, and high-level orientation. The session you are reading this document from.</w:t>
      </w:r>
    </w:p>
    <w:p>
      <w:pPr>
        <w:pStyle w:val="ListParagraph"/>
        <w:numPr>
          <w:ilvl w:val="0"/>
          <w:numId w:val="2"/>
        </w:numPr>
        <w:spacing w:after="100"/>
      </w:pPr>
      <w:r>
        <w:rPr>
          <w:b/>
          <w:bCs/>
        </w:rPr>
        <w:t xml:space="preserve">Economics Chat: </w:t>
      </w:r>
      <w:r>
        <w:t xml:space="preserve">Deep dives into econometric methodology — why DiD, why TWFE, why clustered standard errors, what the parallel trends assumption actually requires, and when synthetic control is more appropriate. Theory and identification strategy.</w:t>
      </w:r>
    </w:p>
    <w:p>
      <w:pPr>
        <w:pStyle w:val="ListParagraph"/>
        <w:numPr>
          <w:ilvl w:val="0"/>
          <w:numId w:val="2"/>
        </w:numPr>
        <w:spacing w:after="240"/>
      </w:pPr>
      <w:r>
        <w:rPr>
          <w:b/>
          <w:bCs/>
        </w:rPr>
        <w:t xml:space="preserve">Coding Chat: </w:t>
      </w:r>
      <w:r>
        <w:t xml:space="preserve">Understanding what the code is actually doing, building Python fluency, learning PySpark and SQL, and working through implementation details. The craft of building the pipeline.</w:t>
      </w:r>
    </w:p>
    <w:p>
      <w:pPr>
        <w:pStyle w:val="Heading1"/>
      </w:pPr>
      <w:r>
        <w:t xml:space="preserve">8. Current Data Inventory</w:t>
      </w:r>
    </w:p>
    <w:p>
      <w:pPr>
        <w:spacing w:after="80"/>
      </w:pPr>
      <w:r>
        <w:rPr>
          <w:i/>
          <w:iCs/>
        </w:rPr>
        <w:t xml:space="preserve">As of March 2026, the following datasets are confirmed and in hand:</w:t>
      </w:r>
    </w:p>
    <w:p>
      <w:pPr>
        <w:pStyle w:val="ListParagraph"/>
        <w:numPr>
          <w:ilvl w:val="0"/>
          <w:numId w:val="2"/>
        </w:numPr>
        <w:spacing w:after="80"/>
      </w:pPr>
      <w:r>
        <w:rPr>
          <w:b/>
          <w:bCs/>
        </w:rPr>
        <w:t xml:space="preserve">eia_demand_2018_2025.csv </w:t>
      </w:r>
      <w:r>
        <w:t xml:space="preserve">— 184,102 rows, hourly electricity demand for PJM, ERCOT, and MISO, 2019–2025. Core outcome variable.</w:t>
      </w:r>
    </w:p>
    <w:p>
      <w:pPr>
        <w:pStyle w:val="ListParagraph"/>
        <w:numPr>
          <w:ilvl w:val="0"/>
          <w:numId w:val="2"/>
        </w:numPr>
        <w:spacing w:after="80"/>
      </w:pPr>
      <w:r>
        <w:rPr>
          <w:b/>
          <w:bCs/>
        </w:rPr>
        <w:t xml:space="preserve">lbnl_queue_data.csv </w:t>
      </w:r>
      <w:r>
        <w:t xml:space="preserve">— 36,441 rows, all-ISO generation interconnection queue through 2024. Primary forecasting input.</w:t>
      </w:r>
    </w:p>
    <w:p>
      <w:pPr>
        <w:pStyle w:val="ListParagraph"/>
        <w:numPr>
          <w:ilvl w:val="0"/>
          <w:numId w:val="2"/>
        </w:numPr>
        <w:spacing w:after="240"/>
      </w:pPr>
      <w:r>
        <w:rPr>
          <w:b/>
          <w:bCs/>
        </w:rPr>
        <w:t xml:space="preserve">pjm_main_data_for_public_with_additional_vars.csv </w:t>
      </w:r>
      <w:r>
        <w:t xml:space="preserve">— 7,492 rows, PJM queue 2008–2024 with 121 variables including engineered cost and geography controls. NSF-funded UMD dataset.</w:t>
      </w:r>
    </w:p>
    <w:p>
      <w:pPr>
        <w:pBdr>
          <w:top w:val="single" w:color="CCCCCC" w:sz="4" w:space="8"/>
        </w:pBdr>
        <w:spacing w:before="480"/>
      </w:pPr>
      <w:r>
        <w:rPr>
          <w:i/>
          <w:iCs/>
          <w:color w:val="888888"/>
          <w:sz w:val="18"/>
          <w:szCs w:val="18"/>
        </w:rPr>
        <w:t xml:space="preserve">Document version 1.0 • March 2026 • lambcast.net • Updated as project progresses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2026-03-09T16:43:00.462Z</dcterms:created>
  <dcterms:modified xsi:type="dcterms:W3CDTF">2026-03-09T16:43:00.463Z</dcterms:modified>
</cp:coreProperties>
</file>

<file path=docProps/custom.xml><?xml version="1.0" encoding="utf-8"?>
<Properties xmlns="http://schemas.openxmlformats.org/officeDocument/2006/custom-properties" xmlns:vt="http://schemas.openxmlformats.org/officeDocument/2006/docPropsVTypes"/>
</file>