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E60B" w14:textId="77777777" w:rsidR="003D26CC" w:rsidRDefault="00D67491">
      <w:pPr>
        <w:spacing w:after="120"/>
        <w:jc w:val="center"/>
      </w:pPr>
      <w:r>
        <w:rPr>
          <w:b/>
          <w:bCs/>
          <w:color w:val="1F3864"/>
          <w:sz w:val="36"/>
          <w:szCs w:val="36"/>
        </w:rPr>
        <w:t>Understanding My Own Work</w:t>
      </w:r>
    </w:p>
    <w:p w14:paraId="2F5CE60C" w14:textId="77777777" w:rsidR="003D26CC" w:rsidRDefault="00D67491">
      <w:pPr>
        <w:spacing w:after="120"/>
        <w:jc w:val="center"/>
      </w:pPr>
      <w:r>
        <w:rPr>
          <w:i/>
          <w:iCs/>
          <w:color w:val="2E75B6"/>
          <w:sz w:val="26"/>
          <w:szCs w:val="26"/>
        </w:rPr>
        <w:t>A Personal Learning Document for the AI Grid Project</w:t>
      </w:r>
    </w:p>
    <w:p w14:paraId="2F5CE60D" w14:textId="77777777" w:rsidR="003D26CC" w:rsidRDefault="00D67491">
      <w:pPr>
        <w:spacing w:after="80"/>
        <w:jc w:val="center"/>
      </w:pPr>
      <w:r>
        <w:rPr>
          <w:color w:val="666666"/>
        </w:rPr>
        <w:t xml:space="preserve">Alan Lamb — </w:t>
      </w:r>
      <w:proofErr w:type="spellStart"/>
      <w:r>
        <w:rPr>
          <w:color w:val="666666"/>
        </w:rPr>
        <w:t>Lambcast</w:t>
      </w:r>
      <w:proofErr w:type="spellEnd"/>
      <w:r>
        <w:rPr>
          <w:color w:val="666666"/>
        </w:rPr>
        <w:t xml:space="preserve"> Applied Economics — March 2026</w:t>
      </w:r>
    </w:p>
    <w:p w14:paraId="2F5CE60E" w14:textId="77777777" w:rsidR="003D26CC" w:rsidRDefault="00D67491">
      <w:pPr>
        <w:spacing w:after="480"/>
        <w:jc w:val="center"/>
      </w:pPr>
      <w:r>
        <w:rPr>
          <w:i/>
          <w:iCs/>
          <w:color w:val="888888"/>
          <w:sz w:val="20"/>
          <w:szCs w:val="20"/>
        </w:rPr>
        <w:t>Not for distribution. Written to nail my own understanding so I can defend this work in a room.</w:t>
      </w:r>
    </w:p>
    <w:p w14:paraId="2F5CE60F" w14:textId="77777777" w:rsidR="003D26CC" w:rsidRDefault="00D67491">
      <w:pPr>
        <w:pBdr>
          <w:left w:val="single" w:sz="16" w:space="12" w:color="2E75B6"/>
        </w:pBdr>
        <w:shd w:val="clear" w:color="auto" w:fill="EEF4FB"/>
        <w:spacing w:after="240"/>
        <w:ind w:left="360" w:right="360"/>
      </w:pPr>
      <w:r>
        <w:rPr>
          <w:b/>
          <w:bCs/>
          <w:color w:val="2E75B6"/>
        </w:rPr>
        <w:t xml:space="preserve">Purpose: </w:t>
      </w:r>
      <w:r>
        <w:t>This document is not a paper. It is not for anyone else. It is a place to write out, in plain English, what I am actually doing in this project, why each decision was made, and what I would say if someone walked up to me at a conference and asked me to explain it from scratch. The test is whether I can explain each piece without notes.</w:t>
      </w:r>
    </w:p>
    <w:p w14:paraId="2F5CE610" w14:textId="77777777" w:rsidR="003D26CC" w:rsidRDefault="003D26CC">
      <w:pPr>
        <w:spacing w:after="200"/>
      </w:pPr>
    </w:p>
    <w:p w14:paraId="2F5CE611" w14:textId="77777777" w:rsidR="003D26CC" w:rsidRDefault="00D67491">
      <w:pPr>
        <w:pStyle w:val="Heading1"/>
        <w:spacing w:before="480" w:after="160"/>
      </w:pPr>
      <w:r>
        <w:rPr>
          <w:b/>
          <w:bCs/>
          <w:color w:val="1F3864"/>
          <w:sz w:val="30"/>
          <w:szCs w:val="30"/>
        </w:rPr>
        <w:t>Part 1: The Data</w:t>
      </w:r>
    </w:p>
    <w:p w14:paraId="2F5CE612" w14:textId="77777777" w:rsidR="003D26CC" w:rsidRDefault="00D67491">
      <w:pPr>
        <w:pStyle w:val="Heading2"/>
        <w:spacing w:before="320" w:after="120"/>
      </w:pPr>
      <w:r>
        <w:rPr>
          <w:b/>
          <w:bCs/>
          <w:color w:val="2E75B6"/>
        </w:rPr>
        <w:t>1.1 What Is EIA Form 930?</w:t>
      </w:r>
    </w:p>
    <w:p w14:paraId="2F5CE613" w14:textId="77777777" w:rsidR="003D26CC" w:rsidRDefault="00D67491">
      <w:pPr>
        <w:spacing w:after="200" w:line="360" w:lineRule="auto"/>
      </w:pPr>
      <w:r>
        <w:t>The Energy Information Administration — the federal agency that tracks U.S. energy production and consumption — requires every balancing authority in the continental U.S. to report hourly electricity demand. A balancing authority is the organization responsible for keeping the grid in balance within a defined region — matching supply to demand in real time. ERCOT is the balancing authority for most of Texas. PJM covers the Mid-Atlantic and parts of the Midwest. MISO covers a large swath of the Midwest and p</w:t>
      </w:r>
      <w:r>
        <w:t>arts of the South.</w:t>
      </w:r>
    </w:p>
    <w:p w14:paraId="2F5CE614" w14:textId="77777777" w:rsidR="003D26CC" w:rsidRDefault="00D67491">
      <w:pPr>
        <w:spacing w:after="200" w:line="360" w:lineRule="auto"/>
      </w:pPr>
      <w:r>
        <w:t>Form 930 is the mechanism for that reporting. The data is available through the EIA's free API, updated in near real-time, and goes back to 2015 for most regions. Each row is one hourly observation for one balancing authority: a timestamp, a region code, a data type, and a megawatt-hour value.</w:t>
      </w:r>
    </w:p>
    <w:p w14:paraId="2F5CE615" w14:textId="77777777" w:rsidR="003D26CC" w:rsidRDefault="00D67491">
      <w:pPr>
        <w:pBdr>
          <w:left w:val="single" w:sz="16" w:space="12" w:color="2E75B6"/>
        </w:pBdr>
        <w:shd w:val="clear" w:color="auto" w:fill="EEF4FB"/>
        <w:spacing w:after="240"/>
        <w:ind w:left="360" w:right="360"/>
      </w:pPr>
      <w:r>
        <w:rPr>
          <w:b/>
          <w:bCs/>
          <w:color w:val="2E75B6"/>
        </w:rPr>
        <w:t xml:space="preserve">What MWh means here: </w:t>
      </w:r>
      <w:r>
        <w:t>A megawatt-hour is the amount of energy delivered by one megawatt of power sustained for one hour. When I see 50,000 MWh in a given hour for ERCOT, that means ERCOT's grid delivered 50,000 megawatts of power during that hour — enough to power roughly 40 million homes for an hour. This is average demand, not consumption over time the way you might think of monthly electricity bills.</w:t>
      </w:r>
    </w:p>
    <w:p w14:paraId="2F5CE616" w14:textId="77777777" w:rsidR="003D26CC" w:rsidRDefault="00D67491">
      <w:pPr>
        <w:pStyle w:val="Heading2"/>
        <w:spacing w:before="320" w:after="120"/>
      </w:pPr>
      <w:r>
        <w:rPr>
          <w:b/>
          <w:bCs/>
          <w:color w:val="2E75B6"/>
        </w:rPr>
        <w:t>1.2 What Does My EIA Dataset Actually Look Like?</w:t>
      </w:r>
    </w:p>
    <w:p w14:paraId="2F5CE617" w14:textId="77777777" w:rsidR="003D26CC" w:rsidRDefault="00D67491">
      <w:pPr>
        <w:spacing w:after="200" w:line="360" w:lineRule="auto"/>
      </w:pPr>
      <w:r>
        <w:t>After pulling from the API and filtering to demand-only observations for PJM, ERCO, and MISO, I have 184,102 rows covering January 2019 through December 2025. Each row is one hour. Three corrupt rows from October 2021 showed PJM demand in the billions of megawatt-hours — obviously wrong, filtered out with a 500,000 MWh cap.</w:t>
      </w:r>
    </w:p>
    <w:p w14:paraId="2F5CE618" w14:textId="77777777" w:rsidR="003D26CC" w:rsidRDefault="00D67491">
      <w:pPr>
        <w:spacing w:after="200" w:line="360" w:lineRule="auto"/>
      </w:pPr>
      <w:r>
        <w:lastRenderedPageBreak/>
        <w:t>I aggregate these hourly rows to monthly averages to build the analysis panel. The result is 252 rows: 3 balancing authorities × 84 months. Each row now represents the average hourly demand within a given BA-month. This is my primary outcome variable.</w:t>
      </w:r>
    </w:p>
    <w:p w14:paraId="2F5CE619" w14:textId="77777777" w:rsidR="003D26CC" w:rsidRDefault="00D67491">
      <w:pPr>
        <w:spacing w:after="200" w:line="360" w:lineRule="auto"/>
      </w:pPr>
      <w:r>
        <w:t>I also compute minimum hourly demand for each BA-month — the lowest single hourly reading in that month. This becomes my headline outcome variable because it strips out weather-driven load and isolates the baseload floor.</w:t>
      </w:r>
    </w:p>
    <w:p w14:paraId="2F5CE61A" w14:textId="77777777" w:rsidR="003D26CC" w:rsidRDefault="00D67491">
      <w:pPr>
        <w:pStyle w:val="Heading2"/>
        <w:spacing w:before="320" w:after="120"/>
      </w:pPr>
      <w:r>
        <w:rPr>
          <w:b/>
          <w:bCs/>
          <w:color w:val="2E75B6"/>
        </w:rPr>
        <w:t>1.3 What Is the LBNL Queue Dataset?</w:t>
      </w:r>
    </w:p>
    <w:p w14:paraId="2F5CE61B" w14:textId="77777777" w:rsidR="003D26CC" w:rsidRDefault="00D67491">
      <w:pPr>
        <w:spacing w:after="200" w:line="360" w:lineRule="auto"/>
      </w:pPr>
      <w:r>
        <w:t>Lawrence Berkeley National Laboratory compiles interconnection queue data from every major U.S. electricity market into a single annual dataset called Queued Up. Each row is one project that filed for interconnection — the legal request to connect to the grid. The filing includes the date, the project's proposed capacity in megawatts, the fuel type, the location, and the current status (active, withdrawn, completed).</w:t>
      </w:r>
    </w:p>
    <w:p w14:paraId="2F5CE61C" w14:textId="77777777" w:rsidR="003D26CC" w:rsidRDefault="00D67491">
      <w:pPr>
        <w:spacing w:after="200" w:line="360" w:lineRule="auto"/>
      </w:pPr>
      <w:r>
        <w:t>This is generation-side data. These are power plants and battery storage facilities, not data centers. I am using them as a proxy for data center activity because the actual load-side filing data is not public. The logic: when a data center decides to build, it also needs new generation capacity to serve it — or it needs the grid to have that capacity available. The surge in generation queue filings in ERCOT after 2020 reflects, in part, the generation being built or planned to serve the data center load co</w:t>
      </w:r>
      <w:r>
        <w:t>ming online.</w:t>
      </w:r>
    </w:p>
    <w:p w14:paraId="2F5CE61D" w14:textId="77777777" w:rsidR="003D26CC" w:rsidRDefault="00D67491">
      <w:pPr>
        <w:spacing w:after="200" w:line="360" w:lineRule="auto"/>
      </w:pPr>
      <w:r>
        <w:t>After filtering to PJM, MISO, and ERCOT and removing records with missing capacity values or dates that parsed as the Unix epoch (a data cleaning artifact), I have 16,093 rows.</w:t>
      </w:r>
    </w:p>
    <w:p w14:paraId="2F5CE61E" w14:textId="77777777" w:rsidR="003D26CC" w:rsidRDefault="00D67491">
      <w:pPr>
        <w:pStyle w:val="Heading2"/>
        <w:spacing w:before="320" w:after="120"/>
      </w:pPr>
      <w:r>
        <w:rPr>
          <w:b/>
          <w:bCs/>
          <w:color w:val="2E75B6"/>
        </w:rPr>
        <w:t>1.4 What Is the UMD Queue Dataset?</w:t>
      </w:r>
    </w:p>
    <w:p w14:paraId="2F5CE61F" w14:textId="77777777" w:rsidR="003D26CC" w:rsidRDefault="00D67491">
      <w:pPr>
        <w:spacing w:after="200" w:line="360" w:lineRule="auto"/>
      </w:pPr>
      <w:r>
        <w:t>Chenyu Yang, Norman Johnston, and Frank Liu at the University of Maryland compiled an enhanced version of the PJM interconnection queue covering 2008 through 2024. This is the dataset behind NBER Working Paper 31946. It has 7,492 rows and 121 columns — much more detailed than the LBNL data for PJM specifically, including geographically precise location data and detailed cost information. I have it in hand and use it as a secondary source for PJM queue data.</w:t>
      </w:r>
    </w:p>
    <w:p w14:paraId="2F5CE620" w14:textId="77777777" w:rsidR="003D26CC" w:rsidRDefault="00D67491">
      <w:pPr>
        <w:pStyle w:val="Heading2"/>
        <w:spacing w:before="320" w:after="120"/>
      </w:pPr>
      <w:r>
        <w:rPr>
          <w:b/>
          <w:bCs/>
          <w:color w:val="2E75B6"/>
        </w:rPr>
        <w:t>1.5 What Is a Flow Variable vs a Stock Variable?</w:t>
      </w:r>
    </w:p>
    <w:p w14:paraId="2F5CE621" w14:textId="77777777" w:rsidR="003D26CC" w:rsidRDefault="00D67491">
      <w:pPr>
        <w:spacing w:after="200" w:line="360" w:lineRule="auto"/>
      </w:pPr>
      <w:r>
        <w:t>This distinction matters for how we interpret the queue data.</w:t>
      </w:r>
    </w:p>
    <w:p w14:paraId="2F5CE622" w14:textId="77777777" w:rsidR="003D26CC" w:rsidRDefault="00D67491">
      <w:pPr>
        <w:pStyle w:val="ListParagraph"/>
        <w:numPr>
          <w:ilvl w:val="0"/>
          <w:numId w:val="2"/>
        </w:numPr>
        <w:spacing w:after="120"/>
      </w:pPr>
      <w:r>
        <w:lastRenderedPageBreak/>
        <w:t>Flow variable (</w:t>
      </w:r>
      <w:proofErr w:type="spellStart"/>
      <w:r>
        <w:t>queue_mw_filed</w:t>
      </w:r>
      <w:proofErr w:type="spellEnd"/>
      <w:r>
        <w:t>): How much new capacity was filed in a given month. This measures the rate of new investment arriving — it goes up when a lot of new projects file and down when few do.</w:t>
      </w:r>
    </w:p>
    <w:p w14:paraId="2F5CE623" w14:textId="77777777" w:rsidR="003D26CC" w:rsidRDefault="00D67491">
      <w:pPr>
        <w:pStyle w:val="ListParagraph"/>
        <w:numPr>
          <w:ilvl w:val="0"/>
          <w:numId w:val="2"/>
        </w:numPr>
        <w:spacing w:after="120"/>
      </w:pPr>
      <w:r>
        <w:t>Stock variable (</w:t>
      </w:r>
      <w:proofErr w:type="spellStart"/>
      <w:r>
        <w:t>queue_mw_active</w:t>
      </w:r>
      <w:proofErr w:type="spellEnd"/>
      <w:r>
        <w:t>): The cumulative total of all MW ever filed up to a given month. This measures the total investment pressure building in the pipeline — it only goes up over time.</w:t>
      </w:r>
    </w:p>
    <w:p w14:paraId="2F5CE624" w14:textId="77777777" w:rsidR="003D26CC" w:rsidRDefault="00D67491">
      <w:pPr>
        <w:spacing w:after="200" w:line="360" w:lineRule="auto"/>
      </w:pPr>
      <w:r>
        <w:t>Both are in the panel. The flow variable is the primary regressor in the panel regression because it captures the timing of new investment decisions. The stock variable is in the panel as a robustness check and as a feature for the forecasting model.</w:t>
      </w:r>
    </w:p>
    <w:p w14:paraId="2F5CE625" w14:textId="77777777" w:rsidR="003D26CC" w:rsidRDefault="00D67491">
      <w:pPr>
        <w:pStyle w:val="Heading2"/>
        <w:spacing w:before="320" w:after="120"/>
      </w:pPr>
      <w:r>
        <w:rPr>
          <w:b/>
          <w:bCs/>
          <w:color w:val="2E75B6"/>
        </w:rPr>
        <w:t>1.6 Why Is the Data Gap a Finding and Not a Limitation?</w:t>
      </w:r>
    </w:p>
    <w:p w14:paraId="2F5CE626" w14:textId="77777777" w:rsidR="003D26CC" w:rsidRDefault="00D67491">
      <w:pPr>
        <w:spacing w:after="200" w:line="360" w:lineRule="auto"/>
      </w:pPr>
      <w:r>
        <w:t>Every major U.S. electricity market maintains a load-side interconnection queue — a list of large customers requesting the right to connect and draw power at scale. Data centers filing these requests would appear in it. Unlike the generation queue, this data is not public. PJM, ERCOT, and MISO maintain it internally and do not release it.</w:t>
      </w:r>
    </w:p>
    <w:p w14:paraId="2F5CE627" w14:textId="77777777" w:rsidR="003D26CC" w:rsidRDefault="00D67491">
      <w:pPr>
        <w:spacing w:after="200" w:line="360" w:lineRule="auto"/>
      </w:pPr>
      <w:r>
        <w:t>This is positioned as a finding rather than a limitation because it is a policy-relevant fact about the current state of regulatory transparency, not just a gap in my specific dataset. These three markets serve roughly 70 percent of U.S. electricity load. The fastest buildout of electricity-intensive infrastructure in American history is happening inside their footprints. The public cannot directly observe the pipeline. That is worth documenting and arguing about, not just mentioning in a footnote.</w:t>
      </w:r>
    </w:p>
    <w:p w14:paraId="2F5CE628" w14:textId="77777777" w:rsidR="003D26CC" w:rsidRDefault="00D67491">
      <w:pPr>
        <w:pBdr>
          <w:left w:val="single" w:sz="16" w:space="12" w:color="E8A020"/>
        </w:pBdr>
        <w:shd w:val="clear" w:color="auto" w:fill="FFF8EC"/>
        <w:spacing w:after="240"/>
        <w:ind w:left="360" w:right="360"/>
      </w:pPr>
      <w:r>
        <w:rPr>
          <w:b/>
          <w:bCs/>
          <w:color w:val="E8A020"/>
        </w:rPr>
        <w:t xml:space="preserve">How I would explain this in a room: </w:t>
      </w:r>
      <w:r>
        <w:t>The data I need doesn't exist publicly. That's not just a problem for my paper — it's a problem for every grid planner, utility, and policymaker trying to understand what's coming. I'm documenting the gap explicitly and making a specific policy recommendation about disclosure. The absence of data is itself the finding.</w:t>
      </w:r>
    </w:p>
    <w:p w14:paraId="2F5CE629" w14:textId="77777777" w:rsidR="003D26CC" w:rsidRDefault="00D67491">
      <w:r>
        <w:br w:type="page"/>
      </w:r>
    </w:p>
    <w:p w14:paraId="2F5CE62A" w14:textId="77777777" w:rsidR="003D26CC" w:rsidRDefault="00D67491">
      <w:pPr>
        <w:pStyle w:val="Heading1"/>
        <w:spacing w:before="480" w:after="160"/>
      </w:pPr>
      <w:r>
        <w:rPr>
          <w:b/>
          <w:bCs/>
          <w:color w:val="1F3864"/>
          <w:sz w:val="30"/>
          <w:szCs w:val="30"/>
        </w:rPr>
        <w:lastRenderedPageBreak/>
        <w:t>Part 2: The Methodology</w:t>
      </w:r>
    </w:p>
    <w:p w14:paraId="2F5CE62B" w14:textId="77777777" w:rsidR="003D26CC" w:rsidRDefault="00D67491">
      <w:pPr>
        <w:pStyle w:val="Heading2"/>
        <w:spacing w:before="320" w:after="120"/>
      </w:pPr>
      <w:r>
        <w:rPr>
          <w:b/>
          <w:bCs/>
          <w:color w:val="2E75B6"/>
        </w:rPr>
        <w:t>2.1 Why Four Methods Instead of One?</w:t>
      </w:r>
    </w:p>
    <w:p w14:paraId="2F5CE62C" w14:textId="77777777" w:rsidR="003D26CC" w:rsidRDefault="00D67491">
      <w:pPr>
        <w:spacing w:after="200" w:line="360" w:lineRule="auto"/>
      </w:pPr>
      <w:r>
        <w:t>The honest answer is that no single method solves the identification problem cleanly with the data available. I have three balancing authorities, a proxy treatment variable, and a treatment that arrives gradually across years rather than on a single clean date. Each method makes different assumptions and breaks down in different ways. Using four methods and asking whether they converge is more credible than using one method and pretending the limitations don't exist.</w:t>
      </w:r>
    </w:p>
    <w:p w14:paraId="2F5CE62D" w14:textId="77777777" w:rsidR="003D26CC" w:rsidRDefault="00D67491">
      <w:pPr>
        <w:spacing w:after="200" w:line="360" w:lineRule="auto"/>
      </w:pPr>
      <w:r>
        <w:t xml:space="preserve">The four layers are ordered by how contaminated the comparison group is. The synthetic control with PJM and MISO as donors is the most contaminated — both are receiving real data center investment — so its gap estimate is the lowest and represents a lower bound. The panel regression sits above it. The </w:t>
      </w:r>
      <w:proofErr w:type="spellStart"/>
      <w:r>
        <w:t>DiD</w:t>
      </w:r>
      <w:proofErr w:type="spellEnd"/>
      <w:r>
        <w:t xml:space="preserve"> with genuinely low-exposure control units sits above that. If estimates arrive in that order, the story holds together: the ordering is consistent with contaminated donors suppressing the synthetic control estimate.</w:t>
      </w:r>
    </w:p>
    <w:p w14:paraId="2F5CE62E" w14:textId="77777777" w:rsidR="003D26CC" w:rsidRDefault="00D67491">
      <w:pPr>
        <w:pBdr>
          <w:left w:val="single" w:sz="16" w:space="12" w:color="70AD47"/>
        </w:pBdr>
        <w:shd w:val="clear" w:color="auto" w:fill="F2F9EE"/>
        <w:spacing w:after="240"/>
        <w:ind w:left="360" w:right="360"/>
      </w:pPr>
      <w:r>
        <w:rPr>
          <w:b/>
          <w:bCs/>
          <w:color w:val="70AD47"/>
        </w:rPr>
        <w:t xml:space="preserve">The key test: </w:t>
      </w:r>
      <w:r>
        <w:t xml:space="preserve">If all four methods find a positive effect and the estimates order the way contamination theory </w:t>
      </w:r>
      <w:proofErr w:type="gramStart"/>
      <w:r>
        <w:t>predicts,</w:t>
      </w:r>
      <w:proofErr w:type="gramEnd"/>
      <w:r>
        <w:t xml:space="preserve"> that convergence is the evidence. I'm not claiming a p-value below 0.05. I'm claiming four independent methods all pointing the same direction with estimates that order correctly.</w:t>
      </w:r>
    </w:p>
    <w:p w14:paraId="2F5CE62F" w14:textId="77777777" w:rsidR="003D26CC" w:rsidRDefault="00D67491">
      <w:pPr>
        <w:pStyle w:val="Heading2"/>
        <w:spacing w:before="320" w:after="120"/>
      </w:pPr>
      <w:r>
        <w:rPr>
          <w:b/>
          <w:bCs/>
          <w:color w:val="2E75B6"/>
        </w:rPr>
        <w:t>2.2 What Is the Panel Regression Actually Doing?</w:t>
      </w:r>
    </w:p>
    <w:p w14:paraId="2F5CE630" w14:textId="77777777" w:rsidR="003D26CC" w:rsidRDefault="00D67491">
      <w:pPr>
        <w:spacing w:after="200" w:line="360" w:lineRule="auto"/>
      </w:pPr>
      <w:r>
        <w:t>The panel regression asks: within each balancing authority, do months with higher queue filings 18 months earlier tend to have higher electricity demand today, after accounting for common demand shocks and BA-level fixed differences?</w:t>
      </w:r>
    </w:p>
    <w:p w14:paraId="2F5CE631" w14:textId="77777777" w:rsidR="003D26CC" w:rsidRDefault="00D67491">
      <w:pPr>
        <w:spacing w:after="200" w:line="360" w:lineRule="auto"/>
      </w:pPr>
      <w:r>
        <w:t>The fixed effects are the key machinery. Balancing authority fixed effects remove any time-invariant differences between ERCOT, PJM, and MISO — differences in size, industrial composition, climate zone. Month-year fixed effects remove any shocks that hit all three BAs at the same time — recessions, energy crises, COVID. What's left after absorbing those two dimensions is within-BA variation over time, stripped of common time trends.</w:t>
      </w:r>
    </w:p>
    <w:p w14:paraId="2F5CE632" w14:textId="77777777" w:rsidR="003D26CC" w:rsidRDefault="00D67491">
      <w:pPr>
        <w:spacing w:after="200" w:line="360" w:lineRule="auto"/>
      </w:pPr>
      <w:r>
        <w:t xml:space="preserve">The primary regressor is </w:t>
      </w:r>
      <w:proofErr w:type="spellStart"/>
      <w:r>
        <w:t>queue_mw_filed_large</w:t>
      </w:r>
      <w:proofErr w:type="spellEnd"/>
      <w:r>
        <w:t xml:space="preserve"> lagged 18 months. The 18-month lag reflects the construction timeline: data centers take roughly 18 months to 4 years from interconnection filing to coming online. I test 12, 24, and 30-month lags as robustness checks. The coefficient on the primary regressor tells me: for a given BA-month, how much higher is demand when </w:t>
      </w:r>
      <w:r>
        <w:lastRenderedPageBreak/>
        <w:t>large queue filings 18 months earlier were higher, within that BA and after removing common time trends?</w:t>
      </w:r>
    </w:p>
    <w:p w14:paraId="2F5CE633" w14:textId="77777777" w:rsidR="003D26CC" w:rsidRDefault="00D67491">
      <w:pPr>
        <w:spacing w:after="200" w:line="360" w:lineRule="auto"/>
      </w:pPr>
      <w:r>
        <w:t>The coefficient of 0.029 means: a 1,000 MW increase in 100MW+ queue filings in month t is associated with a 29 MWh increase in monthly average hourly demand in month t+18, conditional on fixed effects, weather, and GDP. This is a small number because MWh is average hourly demand and the queue is measured in total MW filed — the units are very different.</w:t>
      </w:r>
    </w:p>
    <w:p w14:paraId="2F5CE634" w14:textId="77777777" w:rsidR="003D26CC" w:rsidRDefault="00D67491">
      <w:pPr>
        <w:pBdr>
          <w:left w:val="single" w:sz="16" w:space="12" w:color="E8A020"/>
        </w:pBdr>
        <w:shd w:val="clear" w:color="auto" w:fill="FFF8EC"/>
        <w:spacing w:after="240"/>
        <w:ind w:left="360" w:right="360"/>
      </w:pPr>
      <w:r>
        <w:rPr>
          <w:b/>
          <w:bCs/>
          <w:color w:val="E8A020"/>
        </w:rPr>
        <w:t xml:space="preserve">What I cannot say: </w:t>
      </w:r>
      <w:r>
        <w:t>I cannot say this is causal. Queue filings are correlated with other things happening in a region — economic growth, population growth, energy market conditions — that independently drive demand. The fixed effects absorb some of that but not all of it. The honest interpretation is 'associated with' not 'caused by.'</w:t>
      </w:r>
    </w:p>
    <w:p w14:paraId="2F5CE635" w14:textId="77777777" w:rsidR="003D26CC" w:rsidRDefault="00D67491">
      <w:pPr>
        <w:pStyle w:val="Heading2"/>
        <w:spacing w:before="320" w:after="120"/>
      </w:pPr>
      <w:r>
        <w:rPr>
          <w:b/>
          <w:bCs/>
          <w:color w:val="2E75B6"/>
        </w:rPr>
        <w:t>2.3 Why Is the Minimum P-Value 0.125 and Why Do I Report It?</w:t>
      </w:r>
    </w:p>
    <w:p w14:paraId="2F5CE636" w14:textId="77777777" w:rsidR="003D26CC" w:rsidRDefault="00D67491">
      <w:pPr>
        <w:spacing w:after="200" w:line="360" w:lineRule="auto"/>
      </w:pPr>
      <w:r>
        <w:t xml:space="preserve">Wild cluster bootstrap inference with three clusters works by assigning a positive or negative sign to each cluster's residuals and recomputing the test statistic for every possible sign combination. With three clusters, there are 2³ = 8 possible sign combinations. The p-value is the fraction of those 8 combinations that produce a test statistic as large as the one observed. If only 0 out of 8 combinations are as extreme, the p-value is 0/8 = 0. But to count the observed statistic itself, you need at least </w:t>
      </w:r>
      <w:r>
        <w:t>1 out of 8, which gives you 1/8 = 0.125.</w:t>
      </w:r>
    </w:p>
    <w:p w14:paraId="2F5CE637" w14:textId="77777777" w:rsidR="003D26CC" w:rsidRDefault="00D67491">
      <w:pPr>
        <w:spacing w:after="200" w:line="360" w:lineRule="auto"/>
      </w:pPr>
      <w:proofErr w:type="gramStart"/>
      <w:r>
        <w:t>So</w:t>
      </w:r>
      <w:proofErr w:type="gramEnd"/>
      <w:r>
        <w:t xml:space="preserve"> 0.125 is the smallest p-value the procedure can produce with 3 clusters. It's a physical constraint of the method, not a reflection of how strong the evidence is. I report it because hiding it would be dishonest. The conventional significance threshold of 0.05 is simply not achievable here, and pretending otherwise would be misleading. My actual p-value of 0.063 is below 0.125 because </w:t>
      </w:r>
      <w:proofErr w:type="spellStart"/>
      <w:r>
        <w:t>boottest</w:t>
      </w:r>
      <w:proofErr w:type="spellEnd"/>
      <w:r>
        <w:t xml:space="preserve"> uses Webb weights rather than full enumeration — the weights allow for finer resolution than 1/8 — but the princip</w:t>
      </w:r>
      <w:r>
        <w:t>le holds.</w:t>
      </w:r>
    </w:p>
    <w:p w14:paraId="2F5CE638" w14:textId="77777777" w:rsidR="003D26CC" w:rsidRDefault="00D67491">
      <w:pPr>
        <w:pBdr>
          <w:left w:val="single" w:sz="16" w:space="12" w:color="2E75B6"/>
        </w:pBdr>
        <w:shd w:val="clear" w:color="auto" w:fill="EEF4FB"/>
        <w:spacing w:after="240"/>
        <w:ind w:left="360" w:right="360"/>
      </w:pPr>
      <w:r>
        <w:rPr>
          <w:b/>
          <w:bCs/>
          <w:color w:val="2E75B6"/>
        </w:rPr>
        <w:t xml:space="preserve">How I explain this: </w:t>
      </w:r>
      <w:r>
        <w:t>I have three clusters. The math of cluster bootstrap inference means I can't get a p-value below 0.125 under full enumeration. That's not a weakness I'm hiding — it's a feature of working honestly with a small number of units. The coefficient is stable across 10 specifications. That stability is the evidence.</w:t>
      </w:r>
    </w:p>
    <w:p w14:paraId="2F5CE639" w14:textId="77777777" w:rsidR="003D26CC" w:rsidRDefault="00D67491">
      <w:pPr>
        <w:pStyle w:val="Heading2"/>
        <w:spacing w:before="320" w:after="120"/>
      </w:pPr>
      <w:r>
        <w:rPr>
          <w:b/>
          <w:bCs/>
          <w:color w:val="2E75B6"/>
        </w:rPr>
        <w:t>2.4 What Is the Synthetic Control Actually Doing?</w:t>
      </w:r>
    </w:p>
    <w:p w14:paraId="2F5CE63A" w14:textId="77777777" w:rsidR="003D26CC" w:rsidRDefault="00D67491">
      <w:pPr>
        <w:spacing w:after="200" w:line="360" w:lineRule="auto"/>
      </w:pPr>
      <w:r>
        <w:t>The synthetic control method asks: what would ERCOT's demand have looked like if it had not experienced the data center investment surge? It constructs an answer by finding a weighted combination of other balancing authorities — the donor pool — that matches ERCOT's pre-</w:t>
      </w:r>
      <w:r>
        <w:lastRenderedPageBreak/>
        <w:t>treatment demand trajectory as closely as possible. The gap between actual ERCOT and the synthetic ERCOT after the treatment date is the estimated effect.</w:t>
      </w:r>
    </w:p>
    <w:p w14:paraId="2F5CE63B" w14:textId="77777777" w:rsidR="003D26CC" w:rsidRDefault="00D67491">
      <w:pPr>
        <w:spacing w:after="200" w:line="360" w:lineRule="auto"/>
      </w:pPr>
      <w:r>
        <w:t xml:space="preserve">The key insight is that the synthetic control doesn't just use a simple average of comparison units — it finds the specific weights that produce the best pre-treatment fit. If ERCOT was growing slightly faster than MISO but slightly slower than PJM before the treatment, the synthetic control will </w:t>
      </w:r>
      <w:proofErr w:type="gramStart"/>
      <w:r>
        <w:t>weight</w:t>
      </w:r>
      <w:proofErr w:type="gramEnd"/>
      <w:r>
        <w:t xml:space="preserve"> those donors accordingly rather than averaging them equally.</w:t>
      </w:r>
    </w:p>
    <w:p w14:paraId="2F5CE63C" w14:textId="77777777" w:rsidR="003D26CC" w:rsidRDefault="00D67491">
      <w:pPr>
        <w:spacing w:after="200" w:line="360" w:lineRule="auto"/>
      </w:pPr>
      <w:r>
        <w:t>Pre-treatment fit is the credibility credential. If the synthetic control can't reproduce ERCOT's demand trajectory before the treatment date, the counterfactual isn't credible. I report the RMSPE — the root mean squared prediction error in the pre-treatment period — as a measure of fit quality.</w:t>
      </w:r>
    </w:p>
    <w:p w14:paraId="2F5CE63D" w14:textId="77777777" w:rsidR="003D26CC" w:rsidRDefault="00D67491">
      <w:pPr>
        <w:pStyle w:val="Heading2"/>
        <w:spacing w:before="320" w:after="120"/>
      </w:pPr>
      <w:r>
        <w:rPr>
          <w:b/>
          <w:bCs/>
          <w:color w:val="2E75B6"/>
        </w:rPr>
        <w:t>2.5 Why Is the Synthetic Control a Lower Bound?</w:t>
      </w:r>
    </w:p>
    <w:p w14:paraId="2F5CE63E" w14:textId="77777777" w:rsidR="003D26CC" w:rsidRDefault="00D67491">
      <w:pPr>
        <w:spacing w:after="200" w:line="360" w:lineRule="auto"/>
      </w:pPr>
      <w:r>
        <w:t xml:space="preserve">PJM and MISO — the baseline donor pool in SC-1 — are themselves experiencing data center investment. Northern Virginia, which is in PJM's footprint, is the largest data center market in the world. If the donors are treated, then the synthetic control is comparing ERCOT to a weighted average of regions that are also growing due to data centers. The synthetic ERCOT </w:t>
      </w:r>
      <w:proofErr w:type="gramStart"/>
      <w:r>
        <w:t>is itself</w:t>
      </w:r>
      <w:proofErr w:type="gramEnd"/>
      <w:r>
        <w:t xml:space="preserve"> too high — it's absorbed some of the treatment </w:t>
      </w:r>
      <w:proofErr w:type="gramStart"/>
      <w:r>
        <w:t>effect —</w:t>
      </w:r>
      <w:proofErr w:type="gramEnd"/>
      <w:r>
        <w:t xml:space="preserve"> which means the gap between actual ERCOT and synthetic ERCOT is smaller than the true effect.</w:t>
      </w:r>
    </w:p>
    <w:p w14:paraId="2F5CE63F" w14:textId="77777777" w:rsidR="003D26CC" w:rsidRDefault="00D67491">
      <w:pPr>
        <w:spacing w:after="200" w:line="360" w:lineRule="auto"/>
      </w:pPr>
      <w:r>
        <w:t>This is why SC-3, using ISONE, NYISO, and SPP as donors, gives a larger gap than SC-1. Those regions have much lower data center exposure. When you remove the contamination from the donor pool, the counterfactual falls lower and the gap grows. The ordering of SC-1 &lt; SC-2 &lt; SC-3 confirms this contamination story.</w:t>
      </w:r>
    </w:p>
    <w:p w14:paraId="2F5CE640" w14:textId="77777777" w:rsidR="003D26CC" w:rsidRDefault="00D67491">
      <w:pPr>
        <w:pBdr>
          <w:left w:val="single" w:sz="16" w:space="12" w:color="70AD47"/>
        </w:pBdr>
        <w:shd w:val="clear" w:color="auto" w:fill="F2F9EE"/>
        <w:spacing w:after="240"/>
        <w:ind w:left="360" w:right="360"/>
      </w:pPr>
      <w:r>
        <w:rPr>
          <w:b/>
          <w:bCs/>
          <w:color w:val="70AD47"/>
        </w:rPr>
        <w:t xml:space="preserve">The lower bound framing: </w:t>
      </w:r>
      <w:r>
        <w:t>SC-1 is not wrong. It's deliberately presented as a lower bound. The true effect is somewhere above it. SC-3 with clean donors gives the best available estimate. The range between SC-1 and SC-3 is itself informative — it shows how much the contamination matters.</w:t>
      </w:r>
    </w:p>
    <w:p w14:paraId="2F5CE641" w14:textId="77777777" w:rsidR="003D26CC" w:rsidRDefault="00D67491">
      <w:pPr>
        <w:pStyle w:val="Heading2"/>
        <w:spacing w:before="320" w:after="120"/>
      </w:pPr>
      <w:r>
        <w:rPr>
          <w:b/>
          <w:bCs/>
          <w:color w:val="2E75B6"/>
        </w:rPr>
        <w:t>2.6 What Is the Bai-Perron Break Test and Why Does 2023m5 Make Sense?</w:t>
      </w:r>
    </w:p>
    <w:p w14:paraId="2F5CE642" w14:textId="77777777" w:rsidR="003D26CC" w:rsidRDefault="00D67491">
      <w:pPr>
        <w:spacing w:after="200" w:line="360" w:lineRule="auto"/>
      </w:pPr>
      <w:r>
        <w:t>The Bai-Perron structural break test is a statistical procedure for finding the date at which a time series exhibits a significant change in its mean or trend. Applied to ERCOT demand, it asks: at what point did the demand trajectory shift in a statistically meaningful way?</w:t>
      </w:r>
    </w:p>
    <w:p w14:paraId="2F5CE643" w14:textId="77777777" w:rsidR="003D26CC" w:rsidRDefault="00D67491">
      <w:pPr>
        <w:spacing w:after="200" w:line="360" w:lineRule="auto"/>
      </w:pPr>
      <w:r>
        <w:t xml:space="preserve">The test identified May 2023 as the break date, with a </w:t>
      </w:r>
      <w:proofErr w:type="spellStart"/>
      <w:r>
        <w:t>UDmax</w:t>
      </w:r>
      <w:proofErr w:type="spellEnd"/>
      <w:r>
        <w:t xml:space="preserve"> statistic of 35.39 — the test statistic used to determine whether any structural break exists at all. This break date is used as </w:t>
      </w:r>
      <w:r>
        <w:lastRenderedPageBreak/>
        <w:t>the treatment date for the synthetic control: before May 2023, the comparison is pre-treatment; after May 2023, the gap is the estimated effect.</w:t>
      </w:r>
    </w:p>
    <w:p w14:paraId="2F5CE644" w14:textId="77777777" w:rsidR="003D26CC" w:rsidRDefault="00D67491">
      <w:pPr>
        <w:spacing w:after="200" w:line="360" w:lineRule="auto"/>
      </w:pPr>
      <w:r>
        <w:t>May 2023 makes intuitive sense. The massive data center investment announcements in ERCOT began in earnest in 2022 and 2023. Construction timelines of 18 to 24 months mean that facilities announced in late 2021 and 2022 would have been coming online and drawing power in 2023. The break date aligns with when the physical infrastructure would have started loading onto the grid.</w:t>
      </w:r>
    </w:p>
    <w:p w14:paraId="2F5CE645" w14:textId="77777777" w:rsidR="003D26CC" w:rsidRDefault="00D67491">
      <w:pPr>
        <w:pBdr>
          <w:left w:val="single" w:sz="16" w:space="12" w:color="E8A020"/>
        </w:pBdr>
        <w:shd w:val="clear" w:color="auto" w:fill="FFF8EC"/>
        <w:spacing w:after="240"/>
        <w:ind w:left="360" w:right="360"/>
      </w:pPr>
      <w:r>
        <w:rPr>
          <w:b/>
          <w:bCs/>
          <w:color w:val="E8A020"/>
        </w:rPr>
        <w:t xml:space="preserve">Critical rule: </w:t>
      </w:r>
      <w:r>
        <w:t>The break date is determined before any synthetic control gap estimates are examined. I cannot look at which date produces the largest gap and then report that as the Bai-Perron result. The date is set by the statistical test, then the gap is estimated. This sequencing is a core integrity principle of the methodology.</w:t>
      </w:r>
    </w:p>
    <w:p w14:paraId="2F5CE646" w14:textId="77777777" w:rsidR="003D26CC" w:rsidRDefault="00D67491">
      <w:pPr>
        <w:pStyle w:val="Heading2"/>
        <w:spacing w:before="320" w:after="120"/>
      </w:pPr>
      <w:r>
        <w:rPr>
          <w:b/>
          <w:bCs/>
          <w:color w:val="2E75B6"/>
        </w:rPr>
        <w:t>2.7 Why Does Minimum Demand Isolate the Data Center Signature Better Than Average Demand?</w:t>
      </w:r>
    </w:p>
    <w:p w14:paraId="2F5CE647" w14:textId="77777777" w:rsidR="003D26CC" w:rsidRDefault="00D67491">
      <w:pPr>
        <w:spacing w:after="200" w:line="360" w:lineRule="auto"/>
      </w:pPr>
      <w:r>
        <w:t xml:space="preserve">Average hourly demand in a given month reflects everything that drives electricity consumption: residential air conditioning in summer, commercial heating in winter, industrial activity during business hours, and baseline infrastructure load that runs all the time. Weather is the dominant driver of variation in average </w:t>
      </w:r>
      <w:proofErr w:type="gramStart"/>
      <w:r>
        <w:t>demand — a</w:t>
      </w:r>
      <w:proofErr w:type="gramEnd"/>
      <w:r>
        <w:t xml:space="preserve"> hot July in Texas produces average demand that is 30 to 40 percent higher than a mild January.</w:t>
      </w:r>
    </w:p>
    <w:p w14:paraId="2F5CE648" w14:textId="77777777" w:rsidR="003D26CC" w:rsidRDefault="00D67491">
      <w:pPr>
        <w:spacing w:after="200" w:line="360" w:lineRule="auto"/>
      </w:pPr>
      <w:r>
        <w:t xml:space="preserve">Minimum hourly demand is the lowest single hourly reading in a month. It typically occurs in the middle of the night in a mild-weather month — often </w:t>
      </w:r>
      <w:proofErr w:type="gramStart"/>
      <w:r>
        <w:t>a spring</w:t>
      </w:r>
      <w:proofErr w:type="gramEnd"/>
      <w:r>
        <w:t xml:space="preserve"> or </w:t>
      </w:r>
      <w:proofErr w:type="gramStart"/>
      <w:r>
        <w:t>fall weeknight</w:t>
      </w:r>
      <w:proofErr w:type="gramEnd"/>
      <w:r>
        <w:t xml:space="preserve"> around 3 or 4 in the morning. At that </w:t>
      </w:r>
      <w:proofErr w:type="gramStart"/>
      <w:r>
        <w:t>hour</w:t>
      </w:r>
      <w:proofErr w:type="gramEnd"/>
      <w:r>
        <w:t>, residential load is minimal, commercial load is minimal, and industrial activity is low. What remains is the load that doesn't go away: the infrastructure that runs 24 hours a day, 7 days a week, regardless of the time or the temperature.</w:t>
      </w:r>
    </w:p>
    <w:p w14:paraId="2F5CE649" w14:textId="77777777" w:rsidR="003D26CC" w:rsidRDefault="00D67491">
      <w:pPr>
        <w:spacing w:after="200" w:line="360" w:lineRule="auto"/>
      </w:pPr>
      <w:r>
        <w:t>Data centers are exactly this kind of load. They don't turn off at night. They don't scale down on mild days. The servers run. The cooling runs. The power draw is essentially constant. A minimum demand trend that is rising over time — even in months with stable weather — is the fingerprint of that kind of always-on infrastructure.</w:t>
      </w:r>
    </w:p>
    <w:p w14:paraId="2F5CE64A" w14:textId="77777777" w:rsidR="003D26CC" w:rsidRDefault="00D67491">
      <w:pPr>
        <w:spacing w:after="200" w:line="360" w:lineRule="auto"/>
      </w:pPr>
      <w:r>
        <w:t>This is why the minimum demand SC-3 gap (34.8 index points) is larger than the average demand SC-3 gap (24.5 index points). The data center signal appears more clearly in the measure that removes the weather variation — exactly as the always-on hypothesis would predict.</w:t>
      </w:r>
    </w:p>
    <w:p w14:paraId="2F5CE64B" w14:textId="77777777" w:rsidR="003D26CC" w:rsidRDefault="00D67491">
      <w:pPr>
        <w:pBdr>
          <w:left w:val="single" w:sz="16" w:space="12" w:color="70AD47"/>
        </w:pBdr>
        <w:shd w:val="clear" w:color="auto" w:fill="F2F9EE"/>
        <w:spacing w:after="240"/>
        <w:ind w:left="360" w:right="360"/>
      </w:pPr>
      <w:r>
        <w:rPr>
          <w:b/>
          <w:bCs/>
          <w:color w:val="70AD47"/>
        </w:rPr>
        <w:lastRenderedPageBreak/>
        <w:t xml:space="preserve">How I would explain this in a room: </w:t>
      </w:r>
      <w:r>
        <w:t>Minimum demand is what the grid looks like at 3am on a mild night in April. Residential load is asleep. Commercial load is dark. What's left is the stuff that never turns off. If that floor is rising, something permanent has been added to the grid. Data centers are the obvious candidate.</w:t>
      </w:r>
    </w:p>
    <w:p w14:paraId="2F5CE64C" w14:textId="77777777" w:rsidR="003D26CC" w:rsidRDefault="00D67491">
      <w:pPr>
        <w:pStyle w:val="Heading2"/>
        <w:spacing w:before="320" w:after="120"/>
      </w:pPr>
      <w:r>
        <w:rPr>
          <w:b/>
          <w:bCs/>
          <w:color w:val="2E75B6"/>
        </w:rPr>
        <w:t xml:space="preserve">2.8 What Is the </w:t>
      </w:r>
      <w:proofErr w:type="spellStart"/>
      <w:r>
        <w:rPr>
          <w:b/>
          <w:bCs/>
          <w:color w:val="2E75B6"/>
        </w:rPr>
        <w:t>DiD</w:t>
      </w:r>
      <w:proofErr w:type="spellEnd"/>
      <w:r>
        <w:rPr>
          <w:b/>
          <w:bCs/>
          <w:color w:val="2E75B6"/>
        </w:rPr>
        <w:t xml:space="preserve"> </w:t>
      </w:r>
      <w:proofErr w:type="gramStart"/>
      <w:r>
        <w:rPr>
          <w:b/>
          <w:bCs/>
          <w:color w:val="2E75B6"/>
        </w:rPr>
        <w:t>With</w:t>
      </w:r>
      <w:proofErr w:type="gramEnd"/>
      <w:r>
        <w:rPr>
          <w:b/>
          <w:bCs/>
          <w:color w:val="2E75B6"/>
        </w:rPr>
        <w:t xml:space="preserve"> Low-Exposure Controls Adding?</w:t>
      </w:r>
    </w:p>
    <w:p w14:paraId="2F5CE64D" w14:textId="77777777" w:rsidR="003D26CC" w:rsidRDefault="00D67491">
      <w:pPr>
        <w:spacing w:after="200" w:line="360" w:lineRule="auto"/>
      </w:pPr>
      <w:r>
        <w:t xml:space="preserve">The </w:t>
      </w:r>
      <w:proofErr w:type="spellStart"/>
      <w:r>
        <w:t>DiD</w:t>
      </w:r>
      <w:proofErr w:type="spellEnd"/>
      <w:r>
        <w:t xml:space="preserve"> specification takes the cleanest available comparison group — balancing authorities that have not received significant data center investment — and asks whether ERCOT's demand trajectory diverged from theirs after the treatment date. ISONE (New England), NYISO (New York), and SPP (the Great Plains) are classified as low-exposure based on their cumulative 100MW+ queue filings from the LBNL data.</w:t>
      </w:r>
    </w:p>
    <w:p w14:paraId="2F5CE64E" w14:textId="77777777" w:rsidR="003D26CC" w:rsidRDefault="00D67491">
      <w:pPr>
        <w:spacing w:after="200" w:line="360" w:lineRule="auto"/>
      </w:pPr>
      <w:r>
        <w:t xml:space="preserve">The </w:t>
      </w:r>
      <w:proofErr w:type="spellStart"/>
      <w:r>
        <w:t>DiD</w:t>
      </w:r>
      <w:proofErr w:type="spellEnd"/>
      <w:r>
        <w:t xml:space="preserve"> estimate of 9.8 index points sits above the synthetic control gap. This is consistent with the contamination story: when you use genuinely untreated comparison units instead of PJM and MISO, the estimated gap grows. The </w:t>
      </w:r>
      <w:proofErr w:type="spellStart"/>
      <w:r>
        <w:t>DiD</w:t>
      </w:r>
      <w:proofErr w:type="spellEnd"/>
      <w:r>
        <w:t xml:space="preserve"> provides the upper end of the credible range.</w:t>
      </w:r>
    </w:p>
    <w:p w14:paraId="2F5CE64F" w14:textId="77777777" w:rsidR="003D26CC" w:rsidRDefault="00D67491">
      <w:pPr>
        <w:spacing w:after="200" w:line="360" w:lineRule="auto"/>
      </w:pPr>
      <w:r>
        <w:t xml:space="preserve">The minimum achievable p-value with the </w:t>
      </w:r>
      <w:proofErr w:type="spellStart"/>
      <w:r>
        <w:t>DiD</w:t>
      </w:r>
      <w:proofErr w:type="spellEnd"/>
      <w:r>
        <w:t xml:space="preserve"> cluster count is 0.125 — the same constraint as the panel regression. The result is reported at p = 0.125, which in this context means the bootstrap could not find a more extreme configuration. That is not a failure — it is honest reporting.</w:t>
      </w:r>
    </w:p>
    <w:p w14:paraId="2F5CE650" w14:textId="77777777" w:rsidR="003D26CC" w:rsidRDefault="00D67491">
      <w:pPr>
        <w:pStyle w:val="Heading2"/>
        <w:spacing w:before="320" w:after="120"/>
      </w:pPr>
      <w:r>
        <w:rPr>
          <w:b/>
          <w:bCs/>
          <w:color w:val="2E75B6"/>
        </w:rPr>
        <w:t>2.9 What Is Wild Cluster Bootstrap and Why Do I Use It Instead of Regular Standard Errors?</w:t>
      </w:r>
    </w:p>
    <w:p w14:paraId="2F5CE651" w14:textId="77777777" w:rsidR="003D26CC" w:rsidRDefault="00D67491">
      <w:pPr>
        <w:spacing w:after="200" w:line="360" w:lineRule="auto"/>
      </w:pPr>
      <w:r>
        <w:t>Standard regression software produces standard errors and p-values based on asymptotic theory — statistical results that are accurate as the number of observations grows large. But the relevant number of observations for clustering is the number of clusters, not the number of rows. With three balancing authorities, the cluster count is three. The asymptotic approximation is unreliable at that scale — the central limit theorem needs more than three groups to kick in.</w:t>
      </w:r>
    </w:p>
    <w:p w14:paraId="2F5CE652" w14:textId="77777777" w:rsidR="003D26CC" w:rsidRDefault="00D67491">
      <w:pPr>
        <w:spacing w:after="200" w:line="360" w:lineRule="auto"/>
      </w:pPr>
      <w:r>
        <w:t>Wild cluster bootstrap is a finite-sample alternative. Instead of relying on the asymptotic approximation, it resamples by randomly flipping the signs of entire clusters' residuals and recomputes the test statistic many times. This builds up the actual distribution of the test statistic under the null hypothesis rather than approximating it. The resulting p-values and confidence intervals are more honest under small cluster counts.</w:t>
      </w:r>
    </w:p>
    <w:p w14:paraId="2F5CE653" w14:textId="77777777" w:rsidR="003D26CC" w:rsidRDefault="00D67491">
      <w:pPr>
        <w:spacing w:after="200" w:line="360" w:lineRule="auto"/>
      </w:pPr>
      <w:r>
        <w:t xml:space="preserve">I use the </w:t>
      </w:r>
      <w:proofErr w:type="spellStart"/>
      <w:r>
        <w:t>boottest</w:t>
      </w:r>
      <w:proofErr w:type="spellEnd"/>
      <w:r>
        <w:t xml:space="preserve"> package in Stata, with Webb weights (rather than Rademacher weights, which produce only 8 discrete values with three clusters and are too coarse to be useful). 999 replications. Seed set for reproducibility.</w:t>
      </w:r>
    </w:p>
    <w:p w14:paraId="2F5CE654" w14:textId="77777777" w:rsidR="003D26CC" w:rsidRDefault="00D67491">
      <w:pPr>
        <w:pBdr>
          <w:left w:val="single" w:sz="16" w:space="12" w:color="2E75B6"/>
        </w:pBdr>
        <w:shd w:val="clear" w:color="auto" w:fill="EEF4FB"/>
        <w:spacing w:after="240"/>
        <w:ind w:left="360" w:right="360"/>
      </w:pPr>
      <w:r>
        <w:rPr>
          <w:b/>
          <w:bCs/>
          <w:color w:val="2E75B6"/>
        </w:rPr>
        <w:lastRenderedPageBreak/>
        <w:t xml:space="preserve">The bottom line: </w:t>
      </w:r>
      <w:r>
        <w:t xml:space="preserve">Clustered standard errors would give me smaller p-values that look more significant but are statistically unreliable with 3 clusters. Wild cluster bootstrap gives me larger p-values that are honest. I choose </w:t>
      </w:r>
      <w:proofErr w:type="gramStart"/>
      <w:r>
        <w:t>honest</w:t>
      </w:r>
      <w:proofErr w:type="gramEnd"/>
      <w:r>
        <w:t>.</w:t>
      </w:r>
    </w:p>
    <w:p w14:paraId="2F5CE655" w14:textId="77777777" w:rsidR="003D26CC" w:rsidRDefault="00D67491">
      <w:pPr>
        <w:pStyle w:val="Heading2"/>
        <w:spacing w:before="320" w:after="120"/>
      </w:pPr>
      <w:r>
        <w:rPr>
          <w:b/>
          <w:bCs/>
          <w:color w:val="2E75B6"/>
        </w:rPr>
        <w:t>2.10 What Language Am I Required to Use — and What Is Banned?</w:t>
      </w:r>
    </w:p>
    <w:p w14:paraId="2F5CE656" w14:textId="77777777" w:rsidR="003D26CC" w:rsidRDefault="00D67491">
      <w:pPr>
        <w:spacing w:after="200" w:line="360" w:lineRule="auto"/>
      </w:pPr>
      <w:r>
        <w:t>This matters for the paper and for how I talk about the results in any setting.</w:t>
      </w:r>
    </w:p>
    <w:p w14:paraId="2F5CE657" w14:textId="77777777" w:rsidR="003D26CC" w:rsidRDefault="00D67491">
      <w:pPr>
        <w:pStyle w:val="ListParagraph"/>
        <w:numPr>
          <w:ilvl w:val="0"/>
          <w:numId w:val="2"/>
        </w:numPr>
        <w:spacing w:after="120"/>
      </w:pPr>
      <w:r>
        <w:t>BANNED: 'effect,' 'impact,' 'causes,' 'driven by,' 'due to.' These imply causation that the design cannot establish.</w:t>
      </w:r>
    </w:p>
    <w:p w14:paraId="2F5CE658" w14:textId="77777777" w:rsidR="003D26CC" w:rsidRDefault="00D67491">
      <w:pPr>
        <w:pStyle w:val="ListParagraph"/>
        <w:numPr>
          <w:ilvl w:val="0"/>
          <w:numId w:val="2"/>
        </w:numPr>
        <w:spacing w:after="120"/>
      </w:pPr>
      <w:r>
        <w:t>REQUIRED: 'associated with,' 'corresponds to,' 'consistent with,' 'predicts' (only in forecasting context).</w:t>
      </w:r>
    </w:p>
    <w:p w14:paraId="2F5CE659" w14:textId="77777777" w:rsidR="003D26CC" w:rsidRDefault="00D67491">
      <w:pPr>
        <w:spacing w:after="200" w:line="360" w:lineRule="auto"/>
      </w:pPr>
      <w:r>
        <w:t>The template sentence for interpreting the panel regression coefficient: 'A 1,000 MW increase in 100MW+ queue filings in month t is associated with a 29 MWh increase in monthly average hourly demand in month t+18, conditional on balancing authority fixed effects, common time shocks, and weather and GDP controls.'</w:t>
      </w:r>
    </w:p>
    <w:p w14:paraId="2F5CE65A" w14:textId="77777777" w:rsidR="003D26CC" w:rsidRDefault="00D67491">
      <w:pPr>
        <w:spacing w:after="200" w:line="360" w:lineRule="auto"/>
      </w:pPr>
      <w:r>
        <w:t>Immediately follow with: 'This estimate reflects within-balancing-authority covariation between lagged queue filings and demand after removing common time trends and BA-level fixed differences. It cannot be interpreted as a causal effect because queue filings are correlated with unobserved regional economic conditions that independently drive demand growth.'</w:t>
      </w:r>
    </w:p>
    <w:p w14:paraId="2F5CE65B" w14:textId="77777777" w:rsidR="003D26CC" w:rsidRDefault="00D67491">
      <w:pPr>
        <w:spacing w:after="200" w:line="360" w:lineRule="auto"/>
      </w:pPr>
      <w:r>
        <w:t>State that disclaimer once, cleanly. Do not repeat it throughout the paper.</w:t>
      </w:r>
    </w:p>
    <w:p w14:paraId="2F5CE65C" w14:textId="77777777" w:rsidR="003D26CC" w:rsidRDefault="003D26CC">
      <w:pPr>
        <w:spacing w:after="200"/>
      </w:pPr>
    </w:p>
    <w:p w14:paraId="2F5CE65D" w14:textId="77777777" w:rsidR="003D26CC" w:rsidRDefault="00D67491">
      <w:pPr>
        <w:pBdr>
          <w:top w:val="single" w:sz="2" w:space="8" w:color="CCCCCC"/>
        </w:pBdr>
        <w:spacing w:before="400"/>
      </w:pPr>
      <w:r>
        <w:rPr>
          <w:i/>
          <w:iCs/>
          <w:color w:val="888888"/>
          <w:sz w:val="18"/>
          <w:szCs w:val="18"/>
        </w:rPr>
        <w:t>Personal learning document — Alan Lamb — March 2026 — Not for distribution</w:t>
      </w:r>
    </w:p>
    <w:sectPr w:rsidR="003D26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179"/>
    <w:multiLevelType w:val="hybridMultilevel"/>
    <w:tmpl w:val="CA5EFC4E"/>
    <w:lvl w:ilvl="0" w:tplc="D08AB3A8">
      <w:start w:val="1"/>
      <w:numFmt w:val="bullet"/>
      <w:lvlText w:val="●"/>
      <w:lvlJc w:val="left"/>
      <w:pPr>
        <w:ind w:left="720" w:hanging="360"/>
      </w:pPr>
    </w:lvl>
    <w:lvl w:ilvl="1" w:tplc="B2D2996C">
      <w:start w:val="1"/>
      <w:numFmt w:val="bullet"/>
      <w:lvlText w:val="○"/>
      <w:lvlJc w:val="left"/>
      <w:pPr>
        <w:ind w:left="1440" w:hanging="360"/>
      </w:pPr>
    </w:lvl>
    <w:lvl w:ilvl="2" w:tplc="297A92C8">
      <w:start w:val="1"/>
      <w:numFmt w:val="bullet"/>
      <w:lvlText w:val="■"/>
      <w:lvlJc w:val="left"/>
      <w:pPr>
        <w:ind w:left="2160" w:hanging="360"/>
      </w:pPr>
    </w:lvl>
    <w:lvl w:ilvl="3" w:tplc="73924258">
      <w:start w:val="1"/>
      <w:numFmt w:val="bullet"/>
      <w:lvlText w:val="●"/>
      <w:lvlJc w:val="left"/>
      <w:pPr>
        <w:ind w:left="2880" w:hanging="360"/>
      </w:pPr>
    </w:lvl>
    <w:lvl w:ilvl="4" w:tplc="951280E6">
      <w:start w:val="1"/>
      <w:numFmt w:val="bullet"/>
      <w:lvlText w:val="○"/>
      <w:lvlJc w:val="left"/>
      <w:pPr>
        <w:ind w:left="3600" w:hanging="360"/>
      </w:pPr>
    </w:lvl>
    <w:lvl w:ilvl="5" w:tplc="8618BA90">
      <w:start w:val="1"/>
      <w:numFmt w:val="bullet"/>
      <w:lvlText w:val="■"/>
      <w:lvlJc w:val="left"/>
      <w:pPr>
        <w:ind w:left="4320" w:hanging="360"/>
      </w:pPr>
    </w:lvl>
    <w:lvl w:ilvl="6" w:tplc="AF68CE7C">
      <w:start w:val="1"/>
      <w:numFmt w:val="bullet"/>
      <w:lvlText w:val="●"/>
      <w:lvlJc w:val="left"/>
      <w:pPr>
        <w:ind w:left="5040" w:hanging="360"/>
      </w:pPr>
    </w:lvl>
    <w:lvl w:ilvl="7" w:tplc="25CA28C6">
      <w:start w:val="1"/>
      <w:numFmt w:val="bullet"/>
      <w:lvlText w:val="●"/>
      <w:lvlJc w:val="left"/>
      <w:pPr>
        <w:ind w:left="5760" w:hanging="360"/>
      </w:pPr>
    </w:lvl>
    <w:lvl w:ilvl="8" w:tplc="B19C436C">
      <w:start w:val="1"/>
      <w:numFmt w:val="bullet"/>
      <w:lvlText w:val="●"/>
      <w:lvlJc w:val="left"/>
      <w:pPr>
        <w:ind w:left="6480" w:hanging="360"/>
      </w:pPr>
    </w:lvl>
  </w:abstractNum>
  <w:abstractNum w:abstractNumId="1" w15:restartNumberingAfterBreak="0">
    <w:nsid w:val="2F0C118E"/>
    <w:multiLevelType w:val="hybridMultilevel"/>
    <w:tmpl w:val="48B6FD14"/>
    <w:lvl w:ilvl="0" w:tplc="9604A9A6">
      <w:start w:val="1"/>
      <w:numFmt w:val="bullet"/>
      <w:lvlText w:val="•"/>
      <w:lvlJc w:val="left"/>
      <w:pPr>
        <w:ind w:left="720" w:hanging="360"/>
      </w:pPr>
    </w:lvl>
    <w:lvl w:ilvl="1" w:tplc="DEF646A8">
      <w:numFmt w:val="decimal"/>
      <w:lvlText w:val=""/>
      <w:lvlJc w:val="left"/>
    </w:lvl>
    <w:lvl w:ilvl="2" w:tplc="2D741F32">
      <w:numFmt w:val="decimal"/>
      <w:lvlText w:val=""/>
      <w:lvlJc w:val="left"/>
    </w:lvl>
    <w:lvl w:ilvl="3" w:tplc="09DED412">
      <w:numFmt w:val="decimal"/>
      <w:lvlText w:val=""/>
      <w:lvlJc w:val="left"/>
    </w:lvl>
    <w:lvl w:ilvl="4" w:tplc="3E06CFCA">
      <w:numFmt w:val="decimal"/>
      <w:lvlText w:val=""/>
      <w:lvlJc w:val="left"/>
    </w:lvl>
    <w:lvl w:ilvl="5" w:tplc="06648D82">
      <w:numFmt w:val="decimal"/>
      <w:lvlText w:val=""/>
      <w:lvlJc w:val="left"/>
    </w:lvl>
    <w:lvl w:ilvl="6" w:tplc="1FFC8C42">
      <w:numFmt w:val="decimal"/>
      <w:lvlText w:val=""/>
      <w:lvlJc w:val="left"/>
    </w:lvl>
    <w:lvl w:ilvl="7" w:tplc="6B24CD94">
      <w:numFmt w:val="decimal"/>
      <w:lvlText w:val=""/>
      <w:lvlJc w:val="left"/>
    </w:lvl>
    <w:lvl w:ilvl="8" w:tplc="2D429D9A">
      <w:numFmt w:val="decimal"/>
      <w:lvlText w:val=""/>
      <w:lvlJc w:val="left"/>
    </w:lvl>
  </w:abstractNum>
  <w:num w:numId="1" w16cid:durableId="917206950">
    <w:abstractNumId w:val="0"/>
    <w:lvlOverride w:ilvl="0">
      <w:startOverride w:val="1"/>
    </w:lvlOverride>
  </w:num>
  <w:num w:numId="2" w16cid:durableId="183784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6CC"/>
    <w:rsid w:val="003D26CC"/>
    <w:rsid w:val="005F57F5"/>
    <w:rsid w:val="00D67491"/>
    <w:rsid w:val="00E02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CE60B"/>
  <w15:docId w15:val="{DE6955BC-4ED3-4AD1-A808-55A10F03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3306</Words>
  <Characters>17017</Characters>
  <Application>Microsoft Office Word</Application>
  <DocSecurity>0</DocSecurity>
  <Lines>263</Lines>
  <Paragraphs>80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Lamb</cp:lastModifiedBy>
  <cp:revision>2</cp:revision>
  <dcterms:created xsi:type="dcterms:W3CDTF">2026-03-17T03:27:00Z</dcterms:created>
  <dcterms:modified xsi:type="dcterms:W3CDTF">2026-03-18T22:15:00Z</dcterms:modified>
</cp:coreProperties>
</file>