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C24A" w14:textId="77777777" w:rsidR="00EB78D2" w:rsidRDefault="00000000">
      <w:pPr>
        <w:spacing w:after="80"/>
      </w:pPr>
      <w:r>
        <w:rPr>
          <w:b/>
          <w:bCs/>
          <w:color w:val="1F4E79"/>
          <w:sz w:val="38"/>
          <w:szCs w:val="38"/>
        </w:rPr>
        <w:t>Econometric Methods: Study Guide</w:t>
      </w:r>
    </w:p>
    <w:p w14:paraId="0D5074EA" w14:textId="77777777" w:rsidR="00EB78D2" w:rsidRDefault="00000000">
      <w:pPr>
        <w:spacing w:after="40"/>
      </w:pPr>
      <w:r>
        <w:rPr>
          <w:i/>
          <w:iCs/>
          <w:color w:val="2E75B6"/>
          <w:sz w:val="24"/>
          <w:szCs w:val="24"/>
        </w:rPr>
        <w:t>AI Infrastructure &amp; Regional Electricity Demand Project</w:t>
      </w:r>
    </w:p>
    <w:p w14:paraId="62A1FB4A" w14:textId="77777777" w:rsidR="00EB78D2" w:rsidRDefault="00000000">
      <w:pPr>
        <w:spacing w:after="40"/>
      </w:pPr>
      <w:r>
        <w:rPr>
          <w:color w:val="595959"/>
          <w:sz w:val="20"/>
          <w:szCs w:val="20"/>
        </w:rPr>
        <w:t xml:space="preserve">Alan Lamb — </w:t>
      </w:r>
      <w:proofErr w:type="spellStart"/>
      <w:r>
        <w:rPr>
          <w:color w:val="595959"/>
          <w:sz w:val="20"/>
          <w:szCs w:val="20"/>
        </w:rPr>
        <w:t>Lambcast</w:t>
      </w:r>
      <w:proofErr w:type="spellEnd"/>
      <w:r>
        <w:rPr>
          <w:color w:val="595959"/>
          <w:sz w:val="20"/>
          <w:szCs w:val="20"/>
        </w:rPr>
        <w:t xml:space="preserve"> Applied Economics — March 2026 — Not for distribution</w:t>
      </w:r>
    </w:p>
    <w:p w14:paraId="7B322E41" w14:textId="77777777" w:rsidR="00EB78D2" w:rsidRDefault="00EB78D2">
      <w:pPr>
        <w:pBdr>
          <w:bottom w:val="single" w:sz="4" w:space="1" w:color="CCCCCC"/>
        </w:pBdr>
        <w:spacing w:before="200" w:after="200"/>
      </w:pPr>
    </w:p>
    <w:p w14:paraId="4F2574CA" w14:textId="77777777" w:rsidR="00EB78D2" w:rsidRDefault="00000000">
      <w:pPr>
        <w:spacing w:before="80" w:after="80"/>
      </w:pPr>
      <w:r>
        <w:rPr>
          <w:color w:val="1A1A1A"/>
        </w:rPr>
        <w:t>This document covers every major econometric method used in the paper. For each one: what it is, why we used it here, what it tells us, what its limits are, and the plain-English version — what I would say if someone stopped me in a hallway and asked. The actual numbers from the paper are woven in throughout.</w:t>
      </w:r>
    </w:p>
    <w:p w14:paraId="6AFE48EA" w14:textId="77777777" w:rsidR="00EB78D2" w:rsidRDefault="00EB78D2">
      <w:pPr>
        <w:pBdr>
          <w:bottom w:val="single" w:sz="4" w:space="1" w:color="CCCCCC"/>
        </w:pBdr>
        <w:spacing w:before="200" w:after="200"/>
      </w:pPr>
    </w:p>
    <w:p w14:paraId="3840298D" w14:textId="77777777" w:rsidR="00EB78D2" w:rsidRDefault="00000000">
      <w:pPr>
        <w:pStyle w:val="Heading1"/>
      </w:pPr>
      <w:r>
        <w:t>1. Two-Way Fixed Effects (TWFE) Panel Regression</w:t>
      </w:r>
    </w:p>
    <w:p w14:paraId="1086D979" w14:textId="77777777" w:rsidR="00EB78D2" w:rsidRDefault="00000000">
      <w:pPr>
        <w:pStyle w:val="Heading2"/>
      </w:pPr>
      <w:r>
        <w:t>What It Is</w:t>
      </w:r>
    </w:p>
    <w:p w14:paraId="2051A2DE" w14:textId="77777777" w:rsidR="00EB78D2" w:rsidRDefault="00000000">
      <w:pPr>
        <w:spacing w:before="80" w:after="80"/>
      </w:pPr>
      <w:r>
        <w:rPr>
          <w:color w:val="1A1A1A"/>
        </w:rPr>
        <w:t xml:space="preserve">A panel regression is a regression estimated on data with multiple units (here: balancing authorities) observed over multiple time periods (here: months). ‘Two-way fixed </w:t>
      </w:r>
      <w:proofErr w:type="gramStart"/>
      <w:r>
        <w:rPr>
          <w:color w:val="1A1A1A"/>
        </w:rPr>
        <w:t>effects’</w:t>
      </w:r>
      <w:proofErr w:type="gramEnd"/>
      <w:r>
        <w:rPr>
          <w:color w:val="1A1A1A"/>
        </w:rPr>
        <w:t xml:space="preserve"> means we absorb two dimensions of variation: unit-level fixed effects (one constant per BA) and time fixed effects (one constant per month-year).</w:t>
      </w:r>
    </w:p>
    <w:p w14:paraId="76E1E30E" w14:textId="77777777" w:rsidR="00EB78D2" w:rsidRDefault="00000000">
      <w:pPr>
        <w:spacing w:before="80" w:after="80"/>
      </w:pPr>
      <w:r>
        <w:rPr>
          <w:color w:val="1A1A1A"/>
        </w:rPr>
        <w:t>The regression equation is:</w:t>
      </w:r>
    </w:p>
    <w:p w14:paraId="52D08A12" w14:textId="77777777" w:rsidR="00EB78D2" w:rsidRDefault="00000000">
      <w:pPr>
        <w:spacing w:before="120" w:after="120"/>
        <w:ind w:left="720"/>
      </w:pPr>
      <w:proofErr w:type="spellStart"/>
      <w:r>
        <w:rPr>
          <w:rFonts w:ascii="Courier New" w:eastAsia="Courier New" w:hAnsi="Courier New" w:cs="Courier New"/>
          <w:color w:val="1A1A1A"/>
        </w:rPr>
        <w:t>avg_demand</w:t>
      </w:r>
      <w:proofErr w:type="spellEnd"/>
      <w:r>
        <w:rPr>
          <w:rFonts w:ascii="Courier New" w:eastAsia="Courier New" w:hAnsi="Courier New" w:cs="Courier New"/>
          <w:color w:val="1A1A1A"/>
        </w:rPr>
        <w:t>ᵢₜ = αᵢ + γₜ + β · queue_lag18ᵢₜ + δ · HDDᵢₜ + φ · CDDᵢₜ + ψ · GDPᵢₜ + εᵢₜ</w:t>
      </w:r>
    </w:p>
    <w:p w14:paraId="254DA34A" w14:textId="77777777" w:rsidR="00EB78D2" w:rsidRDefault="00000000">
      <w:pPr>
        <w:spacing w:before="80" w:after="80"/>
      </w:pPr>
      <w:r>
        <w:rPr>
          <w:color w:val="1A1A1A"/>
        </w:rPr>
        <w:t>αᵢ is the BA fixed effect (one per BA — absorbs anything time-invariant about ERCOT vs. PJM vs. MISO). γₜ is the month-year fixed effect (one per month — absorbs any shock that hit all three BAs at the same time). What’s left is within-BA variation over time, stripped of common trends.</w:t>
      </w:r>
    </w:p>
    <w:p w14:paraId="2E7E240D" w14:textId="77777777" w:rsidR="00EB78D2" w:rsidRDefault="00000000">
      <w:pPr>
        <w:pStyle w:val="Heading2"/>
      </w:pPr>
      <w:r>
        <w:t>Why We Used It</w:t>
      </w:r>
    </w:p>
    <w:p w14:paraId="3839DC37" w14:textId="77777777" w:rsidR="00EB78D2" w:rsidRDefault="00000000">
      <w:pPr>
        <w:spacing w:before="80" w:after="80"/>
      </w:pPr>
      <w:r>
        <w:rPr>
          <w:color w:val="1A1A1A"/>
        </w:rPr>
        <w:t>It’s the standard workhorse for panel data. It’s honest about what variation it uses: within-unit over time. It handles the most obvious confounders. It gives us a coefficient we can interpret directly: the MWh change in demand associated with one additional MW of large-project filings 18 months earlier.</w:t>
      </w:r>
    </w:p>
    <w:p w14:paraId="1EC20D7D" w14:textId="77777777" w:rsidR="00EB78D2" w:rsidRDefault="00000000">
      <w:pPr>
        <w:pStyle w:val="Heading2"/>
      </w:pPr>
      <w:r>
        <w:t>What It Tells Us</w:t>
      </w:r>
    </w:p>
    <w:p w14:paraId="158C3048" w14:textId="77777777" w:rsidR="00EB78D2" w:rsidRDefault="00000000">
      <w:pPr>
        <w:spacing w:before="80" w:after="80"/>
      </w:pPr>
      <w:r>
        <w:rPr>
          <w:color w:val="1A1A1A"/>
        </w:rPr>
        <w:t xml:space="preserve">The primary coefficient is </w:t>
      </w:r>
      <w:r>
        <w:rPr>
          <w:b/>
          <w:bCs/>
          <w:color w:val="1A1A1A"/>
        </w:rPr>
        <w:t>0.029</w:t>
      </w:r>
      <w:r>
        <w:rPr>
          <w:color w:val="1A1A1A"/>
        </w:rPr>
        <w:t xml:space="preserve"> with a wild bootstrap p-value of </w:t>
      </w:r>
      <w:r>
        <w:rPr>
          <w:b/>
          <w:bCs/>
          <w:color w:val="1A1A1A"/>
        </w:rPr>
        <w:t>0.063</w:t>
      </w:r>
      <w:r>
        <w:rPr>
          <w:color w:val="1A1A1A"/>
        </w:rPr>
        <w:t>. This means: a 1,000 MW increase in 100MW+ queue filings in month t is associated with a 29 MWh increase in monthly average hourly demand in month t+18, conditional on fixed effects, weather, and GDP.</w:t>
      </w:r>
    </w:p>
    <w:p w14:paraId="3E24F2A7" w14:textId="77777777" w:rsidR="00EB78D2" w:rsidRDefault="00000000">
      <w:pPr>
        <w:spacing w:before="80" w:after="80"/>
      </w:pPr>
      <w:r>
        <w:rPr>
          <w:color w:val="1A1A1A"/>
        </w:rPr>
        <w:t>The coefficient is stable across all 10 robustness specifications in Table 2. No specification reverses the sign. No specification drives it to zero. That stability is the evidence, not any single p-value.</w:t>
      </w:r>
    </w:p>
    <w:p w14:paraId="2A7DC8DC" w14:textId="77777777" w:rsidR="00EB78D2" w:rsidRDefault="00000000">
      <w:pPr>
        <w:pStyle w:val="Heading2"/>
      </w:pPr>
      <w:r>
        <w:t>Its Limits</w:t>
      </w:r>
    </w:p>
    <w:p w14:paraId="368F71BF" w14:textId="77777777" w:rsidR="00EB78D2" w:rsidRDefault="00000000">
      <w:pPr>
        <w:pStyle w:val="ListParagraph"/>
        <w:numPr>
          <w:ilvl w:val="0"/>
          <w:numId w:val="2"/>
        </w:numPr>
        <w:spacing w:before="60" w:after="60"/>
      </w:pPr>
      <w:r>
        <w:rPr>
          <w:color w:val="1A1A1A"/>
        </w:rPr>
        <w:t>Three units is tiny for panel regression. The whole power of TWFE rests on within-unit variation — and with 3 BAs, there’s not much cross-sectional variation to exploit.</w:t>
      </w:r>
    </w:p>
    <w:p w14:paraId="380B6D5A" w14:textId="77777777" w:rsidR="00EB78D2" w:rsidRDefault="00000000">
      <w:pPr>
        <w:pStyle w:val="ListParagraph"/>
        <w:numPr>
          <w:ilvl w:val="0"/>
          <w:numId w:val="2"/>
        </w:numPr>
        <w:spacing w:before="60" w:after="60"/>
      </w:pPr>
      <w:r>
        <w:rPr>
          <w:color w:val="1A1A1A"/>
        </w:rPr>
        <w:t>ERCOT has a level shift treatment. Its demand moved up and stayed up. TWFE has limited power to identify a permanent level shift versus a trend; it’s better suited to sharp, temporary changes.</w:t>
      </w:r>
    </w:p>
    <w:p w14:paraId="296EDBAE" w14:textId="77777777" w:rsidR="00EB78D2" w:rsidRDefault="00000000">
      <w:pPr>
        <w:pStyle w:val="ListParagraph"/>
        <w:numPr>
          <w:ilvl w:val="0"/>
          <w:numId w:val="2"/>
        </w:numPr>
        <w:spacing w:before="60" w:after="60"/>
      </w:pPr>
      <w:r>
        <w:rPr>
          <w:color w:val="1A1A1A"/>
        </w:rPr>
        <w:lastRenderedPageBreak/>
        <w:t>Queue filings are correlated with economic conditions. Even after absorbing common time trends, ERCOT’s specific growth may be partly driven by unobserved regional factors. The coefficient is a conditional correlation, not a causal estimate.</w:t>
      </w:r>
    </w:p>
    <w:p w14:paraId="1CEE6EB7"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After removing everything that’s common to all three regions and everything that’s just a stable BA-level difference, months with more queue filings 18 months earlier tend to have higher demand in ERCOT. It’s consistent with the story. It doesn’t prove it.</w:t>
      </w:r>
    </w:p>
    <w:p w14:paraId="021A276B" w14:textId="77777777" w:rsidR="00EB78D2" w:rsidRDefault="00000000">
      <w:pPr>
        <w:pStyle w:val="Heading1"/>
      </w:pPr>
      <w:r>
        <w:t>2. Wild Cluster Bootstrap Inference (</w:t>
      </w:r>
      <w:proofErr w:type="spellStart"/>
      <w:r>
        <w:t>boottest</w:t>
      </w:r>
      <w:proofErr w:type="spellEnd"/>
      <w:r>
        <w:t>, Webb Weights)</w:t>
      </w:r>
    </w:p>
    <w:p w14:paraId="4066EB8B" w14:textId="77777777" w:rsidR="00EB78D2" w:rsidRDefault="00000000">
      <w:pPr>
        <w:pStyle w:val="Heading2"/>
      </w:pPr>
      <w:r>
        <w:t>What It Is</w:t>
      </w:r>
    </w:p>
    <w:p w14:paraId="47670BC4" w14:textId="77777777" w:rsidR="00EB78D2" w:rsidRDefault="00000000">
      <w:pPr>
        <w:spacing w:before="80" w:after="80"/>
      </w:pPr>
      <w:r>
        <w:rPr>
          <w:color w:val="1A1A1A"/>
        </w:rPr>
        <w:t>When you run a regression, the software needs to compute standard errors — a measure of how uncertain the coefficient estimate is. The standard approach relies on asymptotic theory: results that are accurate as the sample grows large.</w:t>
      </w:r>
    </w:p>
    <w:p w14:paraId="573B27A2" w14:textId="77777777" w:rsidR="00EB78D2" w:rsidRDefault="00000000">
      <w:pPr>
        <w:spacing w:before="80" w:after="80"/>
      </w:pPr>
      <w:r>
        <w:rPr>
          <w:color w:val="1A1A1A"/>
        </w:rPr>
        <w:t>But the relevant sample size for clustered errors isn’t the number of rows in your dataset — it’s the number of clusters. With three balancing authorities, you have three clusters. Asymptotic theory does not apply at G = 3. The standard errors will be wrong.</w:t>
      </w:r>
    </w:p>
    <w:p w14:paraId="136C4BFE" w14:textId="77777777" w:rsidR="00EB78D2" w:rsidRDefault="00000000">
      <w:pPr>
        <w:spacing w:before="80" w:after="80"/>
      </w:pPr>
      <w:r>
        <w:rPr>
          <w:color w:val="1A1A1A"/>
        </w:rPr>
        <w:t>Wild cluster bootstrap is the fix. Instead of calculating standard errors from a formula, it builds the actual distribution of the test statistic by resampling. Specifically: it assigns a random positive or negative sign (“wild”) to each cluster’s residuals, recomputes the test statistic, and repeats many times. The p-value is the fraction of iterations that produce a test statistic as extreme as the observed one.</w:t>
      </w:r>
    </w:p>
    <w:p w14:paraId="3CAC1675" w14:textId="77777777" w:rsidR="00EB78D2" w:rsidRDefault="00000000">
      <w:pPr>
        <w:pStyle w:val="Heading2"/>
      </w:pPr>
      <w:r>
        <w:t>Why Webb Weights Instead of Rademacher?</w:t>
      </w:r>
    </w:p>
    <w:p w14:paraId="30E64F69" w14:textId="77777777" w:rsidR="00EB78D2" w:rsidRDefault="00000000">
      <w:pPr>
        <w:spacing w:before="80" w:after="80"/>
      </w:pPr>
      <w:r>
        <w:rPr>
          <w:color w:val="1A1A1A"/>
        </w:rPr>
        <w:t>The two most common weight schemes for wild cluster bootstrap are Rademacher and Webb. With Rademacher weights, each cluster gets either +1 or -1. With three clusters, there are only 2³ = 8 possible sign combinations. The p-value can only take 8 discrete values: 0/8, 1/8, 2/8, and so on. This is too coarse to be useful.</w:t>
      </w:r>
    </w:p>
    <w:p w14:paraId="0E813EDF" w14:textId="77777777" w:rsidR="00EB78D2" w:rsidRDefault="00000000">
      <w:pPr>
        <w:spacing w:before="80" w:after="80"/>
      </w:pPr>
      <w:r>
        <w:rPr>
          <w:color w:val="1A1A1A"/>
        </w:rPr>
        <w:t xml:space="preserve">Webb weights allow the sign values to take on a richer set of possible values, giving finer resolution in the p-value distribution. </w:t>
      </w:r>
      <w:proofErr w:type="gramStart"/>
      <w:r>
        <w:rPr>
          <w:color w:val="1A1A1A"/>
        </w:rPr>
        <w:t>Specifically</w:t>
      </w:r>
      <w:proofErr w:type="gramEnd"/>
      <w:r>
        <w:rPr>
          <w:color w:val="1A1A1A"/>
        </w:rPr>
        <w:t xml:space="preserve"> Webb draws from the set {±√(1/2), ±√(3/2), ±√(2)}. This is why we can achieve p = 0.063 rather than being stuck at 0.125.</w:t>
      </w:r>
    </w:p>
    <w:p w14:paraId="0F55AEAE" w14:textId="77777777" w:rsidR="00EB78D2" w:rsidRDefault="00000000">
      <w:pPr>
        <w:pStyle w:val="Heading2"/>
      </w:pPr>
      <w:r>
        <w:t>The Minimum P-Value Constraint</w:t>
      </w:r>
    </w:p>
    <w:p w14:paraId="651B0F7E" w14:textId="77777777" w:rsidR="00EB78D2" w:rsidRDefault="00000000">
      <w:pPr>
        <w:spacing w:before="80" w:after="80"/>
      </w:pPr>
      <w:r>
        <w:rPr>
          <w:color w:val="1A1A1A"/>
        </w:rPr>
        <w:t>This is the single most important inference fact in the paper. With three clusters under full enumeration:</w:t>
      </w:r>
    </w:p>
    <w:p w14:paraId="5A2E3D26" w14:textId="77777777" w:rsidR="00EB78D2" w:rsidRDefault="00000000">
      <w:pPr>
        <w:pStyle w:val="ListParagraph"/>
        <w:numPr>
          <w:ilvl w:val="0"/>
          <w:numId w:val="2"/>
        </w:numPr>
        <w:spacing w:before="60" w:after="60"/>
      </w:pPr>
      <w:r>
        <w:rPr>
          <w:color w:val="1A1A1A"/>
        </w:rPr>
        <w:t>8 possible sign combinations</w:t>
      </w:r>
    </w:p>
    <w:p w14:paraId="3AECB59E" w14:textId="77777777" w:rsidR="00EB78D2" w:rsidRDefault="00000000">
      <w:pPr>
        <w:pStyle w:val="ListParagraph"/>
        <w:numPr>
          <w:ilvl w:val="0"/>
          <w:numId w:val="2"/>
        </w:numPr>
        <w:spacing w:before="60" w:after="60"/>
      </w:pPr>
      <w:r>
        <w:rPr>
          <w:color w:val="1A1A1A"/>
        </w:rPr>
        <w:t>To observe a p-value, you count how many combinations produce a test statistic as extreme as yours</w:t>
      </w:r>
    </w:p>
    <w:p w14:paraId="26004DEF" w14:textId="77777777" w:rsidR="00EB78D2" w:rsidRDefault="00000000">
      <w:pPr>
        <w:pStyle w:val="ListParagraph"/>
        <w:numPr>
          <w:ilvl w:val="0"/>
          <w:numId w:val="2"/>
        </w:numPr>
        <w:spacing w:before="60" w:after="60"/>
      </w:pPr>
      <w:r>
        <w:rPr>
          <w:color w:val="1A1A1A"/>
        </w:rPr>
        <w:t>The minimum nonzero fraction is 1/8 = 0.125</w:t>
      </w:r>
    </w:p>
    <w:p w14:paraId="74BA9400" w14:textId="77777777" w:rsidR="00EB78D2" w:rsidRDefault="00000000">
      <w:pPr>
        <w:spacing w:before="80" w:after="80"/>
      </w:pPr>
      <w:r>
        <w:rPr>
          <w:color w:val="1A1A1A"/>
        </w:rPr>
        <w:t>This means p &lt; 0.125 is mathematically impossible under full enumeration with G = 3. Conventional thresholds of p &lt; 0.05 or p &lt; 0.10 are simply not achievable. This is reported in the paper as a design feature, not apologized for.</w:t>
      </w:r>
    </w:p>
    <w:p w14:paraId="34CCBD76" w14:textId="77777777" w:rsidR="00EB78D2" w:rsidRDefault="00000000">
      <w:pPr>
        <w:spacing w:before="80" w:after="80"/>
      </w:pPr>
      <w:r>
        <w:rPr>
          <w:color w:val="1A1A1A"/>
        </w:rPr>
        <w:t xml:space="preserve">Our achieved p-value is </w:t>
      </w:r>
      <w:r>
        <w:rPr>
          <w:b/>
          <w:bCs/>
          <w:color w:val="1A1A1A"/>
        </w:rPr>
        <w:t>0.063</w:t>
      </w:r>
      <w:r>
        <w:rPr>
          <w:color w:val="1A1A1A"/>
        </w:rPr>
        <w:t xml:space="preserve"> — below 0.125 because Webb weights give finer resolution than full enumeration. Under full enumeration that would round up to 1/8.</w:t>
      </w:r>
    </w:p>
    <w:p w14:paraId="2D8D1C47" w14:textId="77777777" w:rsidR="00EB78D2" w:rsidRDefault="00000000">
      <w:pPr>
        <w:pStyle w:val="Heading2"/>
      </w:pPr>
      <w:r>
        <w:t>Its Limits</w:t>
      </w:r>
    </w:p>
    <w:p w14:paraId="1982A36A" w14:textId="77777777" w:rsidR="00EB78D2" w:rsidRDefault="00000000">
      <w:pPr>
        <w:pStyle w:val="ListParagraph"/>
        <w:numPr>
          <w:ilvl w:val="0"/>
          <w:numId w:val="2"/>
        </w:numPr>
        <w:spacing w:before="60" w:after="60"/>
      </w:pPr>
      <w:r>
        <w:rPr>
          <w:color w:val="1A1A1A"/>
        </w:rPr>
        <w:t>Even Webb weights have resolution limits at G = 3. The achieved p-value of 0.063 should be interpreted cautiously.</w:t>
      </w:r>
    </w:p>
    <w:p w14:paraId="43C3E842" w14:textId="77777777" w:rsidR="00EB78D2" w:rsidRDefault="00000000">
      <w:pPr>
        <w:pStyle w:val="ListParagraph"/>
        <w:numPr>
          <w:ilvl w:val="0"/>
          <w:numId w:val="2"/>
        </w:numPr>
        <w:spacing w:before="60" w:after="60"/>
      </w:pPr>
      <w:r>
        <w:rPr>
          <w:color w:val="1A1A1A"/>
        </w:rPr>
        <w:lastRenderedPageBreak/>
        <w:t>The test has low power with very few clusters. It will miss real effects that exist. Coefficient stability across specifications is the more reliable evidence.</w:t>
      </w:r>
    </w:p>
    <w:p w14:paraId="4DB20225"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My regression has 3 clusters. The math of resampling inference with 3 clusters means I can’t get a p-value below about 0.125 under the conservative approach. That’s not a weakness I’m hiding — it’s just the honest arithmetic. I use the coefficient stability across 10 specs as the main evidence.</w:t>
      </w:r>
    </w:p>
    <w:p w14:paraId="41091AEF" w14:textId="77777777" w:rsidR="00EB78D2" w:rsidRDefault="00000000">
      <w:pPr>
        <w:pStyle w:val="Heading1"/>
      </w:pPr>
      <w:r>
        <w:t>3. Synthetic Control Method (Abadie 2010, 2021)</w:t>
      </w:r>
    </w:p>
    <w:p w14:paraId="155B2655" w14:textId="77777777" w:rsidR="00EB78D2" w:rsidRDefault="00000000">
      <w:pPr>
        <w:pStyle w:val="Heading2"/>
      </w:pPr>
      <w:r>
        <w:t>What It Is</w:t>
      </w:r>
    </w:p>
    <w:p w14:paraId="64DA46BF" w14:textId="77777777" w:rsidR="00EB78D2" w:rsidRDefault="00000000">
      <w:pPr>
        <w:spacing w:before="80" w:after="80"/>
      </w:pPr>
      <w:r>
        <w:rPr>
          <w:color w:val="1A1A1A"/>
        </w:rPr>
        <w:t>The synthetic control method asks: what would the treated unit have looked like if it had never been treated? It answers this by constructing a “synthetic” version of the treated unit — a weighted combination of untreated donor units that best replicates the treated unit’s pre-treatment trajectory.</w:t>
      </w:r>
    </w:p>
    <w:p w14:paraId="24D8EC3F" w14:textId="77777777" w:rsidR="00EB78D2" w:rsidRDefault="00000000">
      <w:pPr>
        <w:spacing w:before="80" w:after="80"/>
      </w:pPr>
      <w:r>
        <w:rPr>
          <w:color w:val="1A1A1A"/>
        </w:rPr>
        <w:t xml:space="preserve">The key insight over a simple average: instead of </w:t>
      </w:r>
      <w:proofErr w:type="gramStart"/>
      <w:r>
        <w:rPr>
          <w:color w:val="1A1A1A"/>
        </w:rPr>
        <w:t>weighting</w:t>
      </w:r>
      <w:proofErr w:type="gramEnd"/>
      <w:r>
        <w:rPr>
          <w:color w:val="1A1A1A"/>
        </w:rPr>
        <w:t xml:space="preserve"> all donors equally, the method finds the specific weights that minimize the difference between the synthetic and actual treated unit in the pre-treatment period. If ERCOT was growing faster than MISO but slower than PJM before the treatment, the weights reflect that. The resulting counterfactual is more credible than any arbitrary comparison.</w:t>
      </w:r>
    </w:p>
    <w:p w14:paraId="30EC0514" w14:textId="77777777" w:rsidR="00EB78D2" w:rsidRDefault="00000000">
      <w:pPr>
        <w:spacing w:before="80" w:after="80"/>
      </w:pPr>
      <w:r>
        <w:rPr>
          <w:color w:val="1A1A1A"/>
        </w:rPr>
        <w:t>The treatment effect estimate is the gap between actual ERCOT and synthetic ERCOT after the treatment date.</w:t>
      </w:r>
    </w:p>
    <w:p w14:paraId="698BA216" w14:textId="77777777" w:rsidR="00EB78D2" w:rsidRDefault="00000000">
      <w:pPr>
        <w:pStyle w:val="Heading2"/>
      </w:pPr>
      <w:r>
        <w:t>Why We Used It</w:t>
      </w:r>
    </w:p>
    <w:p w14:paraId="2CD60D52" w14:textId="77777777" w:rsidR="00EB78D2" w:rsidRDefault="00000000">
      <w:pPr>
        <w:spacing w:before="80" w:after="80"/>
      </w:pPr>
      <w:r>
        <w:rPr>
          <w:color w:val="1A1A1A"/>
        </w:rPr>
        <w:t>It’s purpose-built for the setting we have: one treated unit (ERCOT), a small number of donors, and a clear-</w:t>
      </w:r>
      <w:proofErr w:type="spellStart"/>
      <w:r>
        <w:rPr>
          <w:color w:val="1A1A1A"/>
        </w:rPr>
        <w:t>ish</w:t>
      </w:r>
      <w:proofErr w:type="spellEnd"/>
      <w:r>
        <w:rPr>
          <w:color w:val="1A1A1A"/>
        </w:rPr>
        <w:t xml:space="preserve"> treatment date (the Bai-Perron break at 2023m5). It’s explicitly designed for comparative case studies — which is exactly what this paper is. And it makes its assumptions transparent: the pre-treatment fit is right there in the figure, visible to any skeptic.</w:t>
      </w:r>
    </w:p>
    <w:p w14:paraId="2AC9C8C6" w14:textId="77777777" w:rsidR="00EB78D2" w:rsidRDefault="00000000">
      <w:pPr>
        <w:pStyle w:val="Heading2"/>
      </w:pPr>
      <w:r>
        <w:t>What It Tells Us</w:t>
      </w:r>
    </w:p>
    <w:p w14:paraId="1A28206F" w14:textId="77777777" w:rsidR="00EB78D2" w:rsidRDefault="00000000">
      <w:pPr>
        <w:spacing w:before="80" w:after="80"/>
      </w:pPr>
      <w:r>
        <w:rPr>
          <w:color w:val="1A1A1A"/>
        </w:rPr>
        <w:t>Two outcome variables, three donor pool specifications:</w:t>
      </w:r>
    </w:p>
    <w:p w14:paraId="10710743" w14:textId="77777777" w:rsidR="00EB78D2" w:rsidRDefault="00EB78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78D2" w14:paraId="1CD62FDA" w14:textId="77777777">
        <w:tc>
          <w:tcPr>
            <w:tcW w:w="3000" w:type="dxa"/>
            <w:tcBorders>
              <w:top w:val="single" w:sz="1" w:space="0" w:color="CCCCCC"/>
              <w:left w:val="single" w:sz="1" w:space="0" w:color="CCCCCC"/>
              <w:bottom w:val="single" w:sz="1" w:space="0" w:color="CCCCCC"/>
              <w:right w:val="single" w:sz="1" w:space="0" w:color="CCCCCC"/>
            </w:tcBorders>
            <w:shd w:val="clear" w:color="auto" w:fill="C6D9EE"/>
            <w:tcMar>
              <w:top w:w="80" w:type="dxa"/>
              <w:left w:w="120" w:type="dxa"/>
              <w:bottom w:w="80" w:type="dxa"/>
              <w:right w:w="120" w:type="dxa"/>
            </w:tcMar>
          </w:tcPr>
          <w:p w14:paraId="5B304D03" w14:textId="77777777" w:rsidR="00EB78D2" w:rsidRDefault="00000000">
            <w:r>
              <w:rPr>
                <w:b/>
                <w:bCs/>
                <w:color w:val="1A1A1A"/>
                <w:sz w:val="20"/>
                <w:szCs w:val="20"/>
              </w:rPr>
              <w:t>Specification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C6D9EE"/>
            <w:tcMar>
              <w:top w:w="80" w:type="dxa"/>
              <w:left w:w="120" w:type="dxa"/>
              <w:bottom w:w="80" w:type="dxa"/>
              <w:right w:w="120" w:type="dxa"/>
            </w:tcMar>
          </w:tcPr>
          <w:p w14:paraId="6707445A" w14:textId="77777777" w:rsidR="00EB78D2" w:rsidRDefault="00000000">
            <w:r>
              <w:rPr>
                <w:b/>
                <w:bCs/>
                <w:color w:val="1A1A1A"/>
                <w:sz w:val="20"/>
                <w:szCs w:val="20"/>
              </w:rPr>
              <w:t>Gap (index points)</w:t>
            </w:r>
          </w:p>
        </w:tc>
      </w:tr>
      <w:tr w:rsidR="00EB78D2" w14:paraId="23F57D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7B09" w14:textId="77777777" w:rsidR="00EB78D2" w:rsidRDefault="00000000">
            <w:r>
              <w:rPr>
                <w:color w:val="1A1A1A"/>
                <w:sz w:val="20"/>
                <w:szCs w:val="20"/>
              </w:rPr>
              <w:t>SC-1: PJM + MISO donors, avg demand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AF4FE" w14:textId="77777777" w:rsidR="00EB78D2" w:rsidRDefault="00000000">
            <w:r>
              <w:rPr>
                <w:color w:val="1A1A1A"/>
                <w:sz w:val="20"/>
                <w:szCs w:val="20"/>
              </w:rPr>
              <w:t>23.0 (contaminated lower bound)</w:t>
            </w:r>
          </w:p>
        </w:tc>
      </w:tr>
      <w:tr w:rsidR="00EB78D2" w14:paraId="78D42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FD4F" w14:textId="77777777" w:rsidR="00EB78D2" w:rsidRDefault="00000000">
            <w:r>
              <w:rPr>
                <w:color w:val="1A1A1A"/>
                <w:sz w:val="20"/>
                <w:szCs w:val="20"/>
              </w:rPr>
              <w:t>SC-2: Expanded donor pool, avg demand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93F" w14:textId="77777777" w:rsidR="00EB78D2" w:rsidRDefault="00000000">
            <w:r>
              <w:rPr>
                <w:color w:val="1A1A1A"/>
                <w:sz w:val="20"/>
                <w:szCs w:val="20"/>
              </w:rPr>
              <w:t>~24.0</w:t>
            </w:r>
          </w:p>
        </w:tc>
      </w:tr>
      <w:tr w:rsidR="00EB78D2" w14:paraId="761F56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DB559" w14:textId="77777777" w:rsidR="00EB78D2" w:rsidRDefault="00000000">
            <w:r>
              <w:rPr>
                <w:color w:val="1A1A1A"/>
                <w:sz w:val="20"/>
                <w:szCs w:val="20"/>
              </w:rPr>
              <w:t>SC-3: ISNE/NYIS/SWPP donors, avg demand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3040D" w14:textId="77777777" w:rsidR="00EB78D2" w:rsidRDefault="00000000">
            <w:r>
              <w:rPr>
                <w:color w:val="1A1A1A"/>
                <w:sz w:val="20"/>
                <w:szCs w:val="20"/>
              </w:rPr>
              <w:t>24.5 (preferred)</w:t>
            </w:r>
          </w:p>
        </w:tc>
      </w:tr>
      <w:tr w:rsidR="00EB78D2" w14:paraId="3BC9F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880BD" w14:textId="77777777" w:rsidR="00EB78D2" w:rsidRDefault="00000000">
            <w:r>
              <w:rPr>
                <w:color w:val="1A1A1A"/>
                <w:sz w:val="20"/>
                <w:szCs w:val="20"/>
              </w:rPr>
              <w:t>SC-3: ISNE/NYIS/SWPP donors, min demand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FAE99" w14:textId="77777777" w:rsidR="00EB78D2" w:rsidRDefault="00000000">
            <w:r>
              <w:rPr>
                <w:color w:val="1A1A1A"/>
                <w:sz w:val="20"/>
                <w:szCs w:val="20"/>
              </w:rPr>
              <w:t>34.8 (HEADLINE)</w:t>
            </w:r>
          </w:p>
        </w:tc>
      </w:tr>
    </w:tbl>
    <w:p w14:paraId="4E511250" w14:textId="77777777" w:rsidR="00EB78D2" w:rsidRDefault="00EB78D2">
      <w:pPr>
        <w:spacing w:before="100"/>
      </w:pPr>
    </w:p>
    <w:p w14:paraId="17385FC8" w14:textId="77777777" w:rsidR="00EB78D2" w:rsidRDefault="00000000">
      <w:pPr>
        <w:spacing w:before="80" w:after="80"/>
      </w:pPr>
      <w:r>
        <w:rPr>
          <w:color w:val="1A1A1A"/>
        </w:rPr>
        <w:t>The ordering SC-1 &lt; SC-2 &lt; SC-3 is the contamination story in action. When you remove data-center-exposed donors and use cleaner comparison units, the estimated gap grows. That ordering is predicted by theory and observed in the data.</w:t>
      </w:r>
    </w:p>
    <w:p w14:paraId="68BF3187" w14:textId="77777777" w:rsidR="00EB78D2" w:rsidRDefault="00000000">
      <w:pPr>
        <w:pStyle w:val="Heading2"/>
      </w:pPr>
      <w:r>
        <w:t>Pre-Treatment Fit and RMSPE</w:t>
      </w:r>
    </w:p>
    <w:p w14:paraId="09DBF8E3" w14:textId="77777777" w:rsidR="00EB78D2" w:rsidRDefault="00000000">
      <w:pPr>
        <w:spacing w:before="80" w:after="80"/>
      </w:pPr>
      <w:r>
        <w:rPr>
          <w:color w:val="1A1A1A"/>
        </w:rPr>
        <w:lastRenderedPageBreak/>
        <w:t>The root mean squared prediction error (RMSPE) measures how well the synthetic control tracks actual ERCOT before the treatment date. A low RMSPE is the credibility credential of the method. If the synthetic control can’t reproduce the pre-treatment trajectory, the counterfactual isn’t trustworthy and the post-treatment gap is uninterpretable.</w:t>
      </w:r>
    </w:p>
    <w:p w14:paraId="56E7E512" w14:textId="77777777" w:rsidR="00EB78D2" w:rsidRDefault="00000000">
      <w:pPr>
        <w:spacing w:before="80" w:after="80"/>
      </w:pPr>
      <w:r>
        <w:rPr>
          <w:color w:val="1A1A1A"/>
        </w:rPr>
        <w:t>For SC-3 minimum demand, the pre-treatment RMSPE is sufficiently low to support credible inference. For CAISO, the minimum demand RMSPE is 23.4 — high enough to disqualify the result from causal interpretation. We say so explicitly.</w:t>
      </w:r>
    </w:p>
    <w:p w14:paraId="194BBDC1" w14:textId="77777777" w:rsidR="00EB78D2" w:rsidRDefault="00000000">
      <w:pPr>
        <w:pStyle w:val="Heading2"/>
      </w:pPr>
      <w:r>
        <w:t>The Contaminated Donor Problem</w:t>
      </w:r>
    </w:p>
    <w:p w14:paraId="09BB6344" w14:textId="77777777" w:rsidR="00EB78D2" w:rsidRDefault="00000000">
      <w:pPr>
        <w:spacing w:before="80" w:after="80"/>
      </w:pPr>
      <w:r>
        <w:rPr>
          <w:color w:val="1A1A1A"/>
        </w:rPr>
        <w:t>PJM’s footprint includes Northern Virginia — the largest data center market in the world. If PJM is in the donor pool, the synthetic ERCOT is partly blended with a treated region. This makes the synthetic counterfactual too high, which makes the gap between actual and synthetic ERCOT too small. The SC-1 gap (23.0 index points) is deliberately framed as a lower bound.</w:t>
      </w:r>
    </w:p>
    <w:p w14:paraId="74DBEC7C" w14:textId="77777777" w:rsidR="00EB78D2" w:rsidRDefault="00000000">
      <w:pPr>
        <w:spacing w:before="80" w:after="80"/>
      </w:pPr>
      <w:r>
        <w:rPr>
          <w:color w:val="1A1A1A"/>
        </w:rPr>
        <w:t>SC-3 removes the contaminated donors and uses ISONE, NYISO, and SPP — regions with documented low large-project filing histories. The larger SC-3 gap (34.8 for minimum demand) is the result you get when you actually use untreated comparisons.</w:t>
      </w:r>
    </w:p>
    <w:p w14:paraId="340C4782" w14:textId="77777777" w:rsidR="00EB78D2" w:rsidRDefault="00000000">
      <w:pPr>
        <w:pStyle w:val="Heading2"/>
      </w:pPr>
      <w:r>
        <w:t>Its Limits</w:t>
      </w:r>
    </w:p>
    <w:p w14:paraId="562026CF" w14:textId="77777777" w:rsidR="00EB78D2" w:rsidRDefault="00000000">
      <w:pPr>
        <w:pStyle w:val="ListParagraph"/>
        <w:numPr>
          <w:ilvl w:val="0"/>
          <w:numId w:val="2"/>
        </w:numPr>
        <w:spacing w:before="60" w:after="60"/>
      </w:pPr>
      <w:r>
        <w:rPr>
          <w:color w:val="1A1A1A"/>
        </w:rPr>
        <w:t>The donor pool is still small (3 units in SC-3). More donors would improve inferential resolution.</w:t>
      </w:r>
    </w:p>
    <w:p w14:paraId="2A7DB236" w14:textId="77777777" w:rsidR="00EB78D2" w:rsidRDefault="00000000">
      <w:pPr>
        <w:pStyle w:val="ListParagraph"/>
        <w:numPr>
          <w:ilvl w:val="0"/>
          <w:numId w:val="2"/>
        </w:numPr>
        <w:spacing w:before="60" w:after="60"/>
      </w:pPr>
      <w:r>
        <w:rPr>
          <w:color w:val="1A1A1A"/>
        </w:rPr>
        <w:t>The treatment is gradual. Data centers came online over years, not on a single date. The Bai-Perron date is the best available inflection point, but it’s not a clean natural experiment.</w:t>
      </w:r>
    </w:p>
    <w:p w14:paraId="332A8162" w14:textId="77777777" w:rsidR="00EB78D2" w:rsidRDefault="00000000">
      <w:pPr>
        <w:pStyle w:val="ListParagraph"/>
        <w:numPr>
          <w:ilvl w:val="0"/>
          <w:numId w:val="2"/>
        </w:numPr>
        <w:spacing w:before="60" w:after="60"/>
      </w:pPr>
      <w:r>
        <w:rPr>
          <w:color w:val="1A1A1A"/>
        </w:rPr>
        <w:t>The method is sensitive to the choice of outcome predictors used in constructing the weights. We use demand history as the primary predictor.</w:t>
      </w:r>
    </w:p>
    <w:p w14:paraId="00B2562F"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 xml:space="preserve">I build a fake Texas from other regions that looked like Texas before the data center surge. After 2023, real Texas diverges from fake Texas by 34.8 index points in minimum demand. That’s 34.8 units above where Texas would have been if it had stayed on its old trajectory. Zero of the three comparison regions show a </w:t>
      </w:r>
      <w:proofErr w:type="gramStart"/>
      <w:r>
        <w:rPr>
          <w:i/>
          <w:iCs/>
          <w:color w:val="1A1A1A"/>
        </w:rPr>
        <w:t>gap that big</w:t>
      </w:r>
      <w:proofErr w:type="gramEnd"/>
      <w:r>
        <w:rPr>
          <w:i/>
          <w:iCs/>
          <w:color w:val="1A1A1A"/>
        </w:rPr>
        <w:t>.</w:t>
      </w:r>
    </w:p>
    <w:p w14:paraId="54A10AC9" w14:textId="77777777" w:rsidR="00EB78D2" w:rsidRDefault="00000000">
      <w:pPr>
        <w:pStyle w:val="Heading1"/>
      </w:pPr>
      <w:r>
        <w:t>4. In-Space Placebo Tests</w:t>
      </w:r>
    </w:p>
    <w:p w14:paraId="4127A653" w14:textId="77777777" w:rsidR="00EB78D2" w:rsidRDefault="00000000">
      <w:pPr>
        <w:pStyle w:val="Heading2"/>
      </w:pPr>
      <w:r>
        <w:t>What It Is</w:t>
      </w:r>
    </w:p>
    <w:p w14:paraId="29249346" w14:textId="77777777" w:rsidR="00EB78D2" w:rsidRDefault="00000000">
      <w:pPr>
        <w:spacing w:before="80" w:after="80"/>
      </w:pPr>
      <w:r>
        <w:rPr>
          <w:color w:val="1A1A1A"/>
        </w:rPr>
        <w:t>The p-value from a synthetic control isn’t computed from a formula — it’s computed from placebo tests. The procedure:</w:t>
      </w:r>
    </w:p>
    <w:p w14:paraId="7B32A517" w14:textId="77777777" w:rsidR="00EB78D2" w:rsidRDefault="00000000">
      <w:pPr>
        <w:pStyle w:val="ListParagraph"/>
        <w:numPr>
          <w:ilvl w:val="0"/>
          <w:numId w:val="2"/>
        </w:numPr>
        <w:spacing w:before="60" w:after="60"/>
      </w:pPr>
      <w:r>
        <w:rPr>
          <w:color w:val="1A1A1A"/>
        </w:rPr>
        <w:t>Take each donor unit and pretend it was the treated unit.</w:t>
      </w:r>
    </w:p>
    <w:p w14:paraId="60F45A31" w14:textId="77777777" w:rsidR="00EB78D2" w:rsidRDefault="00000000">
      <w:pPr>
        <w:pStyle w:val="ListParagraph"/>
        <w:numPr>
          <w:ilvl w:val="0"/>
          <w:numId w:val="2"/>
        </w:numPr>
        <w:spacing w:before="60" w:after="60"/>
      </w:pPr>
      <w:r>
        <w:rPr>
          <w:color w:val="1A1A1A"/>
        </w:rPr>
        <w:t>Construct its synthetic counterfactual from the remaining donors.</w:t>
      </w:r>
    </w:p>
    <w:p w14:paraId="1934E6F0" w14:textId="77777777" w:rsidR="00EB78D2" w:rsidRDefault="00000000">
      <w:pPr>
        <w:pStyle w:val="ListParagraph"/>
        <w:numPr>
          <w:ilvl w:val="0"/>
          <w:numId w:val="2"/>
        </w:numPr>
        <w:spacing w:before="60" w:after="60"/>
      </w:pPr>
      <w:r>
        <w:rPr>
          <w:color w:val="1A1A1A"/>
        </w:rPr>
        <w:t>Compute the post-treatment gap for that placebo unit.</w:t>
      </w:r>
    </w:p>
    <w:p w14:paraId="1D8C5690" w14:textId="77777777" w:rsidR="00EB78D2" w:rsidRDefault="00000000">
      <w:pPr>
        <w:pStyle w:val="ListParagraph"/>
        <w:numPr>
          <w:ilvl w:val="0"/>
          <w:numId w:val="2"/>
        </w:numPr>
        <w:spacing w:before="60" w:after="60"/>
      </w:pPr>
      <w:r>
        <w:rPr>
          <w:color w:val="1A1A1A"/>
        </w:rPr>
        <w:t>The p-value is the fraction of placebos whose gap is as large as ERCOT’s.</w:t>
      </w:r>
    </w:p>
    <w:p w14:paraId="2BE18FD5" w14:textId="77777777" w:rsidR="00EB78D2" w:rsidRDefault="00000000">
      <w:pPr>
        <w:spacing w:before="80" w:after="80"/>
      </w:pPr>
      <w:r>
        <w:rPr>
          <w:color w:val="1A1A1A"/>
        </w:rPr>
        <w:t>This is called ‘in-space’ because you’re running placebos on different units (different spaces), rather than different time periods.</w:t>
      </w:r>
    </w:p>
    <w:p w14:paraId="075796BB" w14:textId="77777777" w:rsidR="00EB78D2" w:rsidRDefault="00000000">
      <w:pPr>
        <w:pStyle w:val="Heading2"/>
      </w:pPr>
      <w:r>
        <w:t>The Minimum P-Value Constraint Here</w:t>
      </w:r>
    </w:p>
    <w:p w14:paraId="463E27D3" w14:textId="77777777" w:rsidR="00EB78D2" w:rsidRDefault="00000000">
      <w:pPr>
        <w:spacing w:before="80" w:after="80"/>
      </w:pPr>
      <w:r>
        <w:rPr>
          <w:color w:val="1A1A1A"/>
        </w:rPr>
        <w:t>With three total units (ERCOT + 3 donors in SC-3), there are three placebos. The minimum possible p-value is 1/3 ≈ 0.33. Conventional significance thresholds are not achievable here either. The paper reports p = 0.25, which is the minimum achievable given the donor count, and means zero of three placebos exceed ERCOT’s gap.</w:t>
      </w:r>
    </w:p>
    <w:p w14:paraId="598AA3B7" w14:textId="77777777" w:rsidR="00EB78D2" w:rsidRDefault="00000000">
      <w:pPr>
        <w:spacing w:before="80" w:after="80"/>
      </w:pPr>
      <w:r>
        <w:rPr>
          <w:color w:val="1A1A1A"/>
        </w:rPr>
        <w:lastRenderedPageBreak/>
        <w:t>The inferential resolution improves directly with the number of donors. With 10 donors, the minimum p-value would be ~0.09. Expanding the donor pool — which is one reason SC-2 and SC-3 exist — improves the resolution.</w:t>
      </w:r>
    </w:p>
    <w:p w14:paraId="36B78A0F" w14:textId="77777777" w:rsidR="00EB78D2" w:rsidRDefault="00000000">
      <w:pPr>
        <w:pStyle w:val="Heading2"/>
      </w:pPr>
      <w:r>
        <w:t>Its Limits</w:t>
      </w:r>
    </w:p>
    <w:p w14:paraId="3A382E7A" w14:textId="77777777" w:rsidR="00EB78D2" w:rsidRDefault="00000000">
      <w:pPr>
        <w:pStyle w:val="ListParagraph"/>
        <w:numPr>
          <w:ilvl w:val="0"/>
          <w:numId w:val="2"/>
        </w:numPr>
        <w:spacing w:before="60" w:after="60"/>
      </w:pPr>
      <w:r>
        <w:rPr>
          <w:color w:val="1A1A1A"/>
        </w:rPr>
        <w:t>Three placebos is a very thin placebo distribution. The p-value is coarse by construction.</w:t>
      </w:r>
    </w:p>
    <w:p w14:paraId="185BCDAC" w14:textId="77777777" w:rsidR="00EB78D2" w:rsidRDefault="00000000">
      <w:pPr>
        <w:pStyle w:val="ListParagraph"/>
        <w:numPr>
          <w:ilvl w:val="0"/>
          <w:numId w:val="2"/>
        </w:numPr>
        <w:spacing w:before="60" w:after="60"/>
      </w:pPr>
      <w:r>
        <w:rPr>
          <w:color w:val="1A1A1A"/>
        </w:rPr>
        <w:t>The method requires that placebos have comparable pre-treatment fit to ERCOT. Units with poor fit are excluded (RMSPE filter: exclude if pre-treatment RMSPE &gt; 2x ERCOT’s). In practice, all three SC-3 donors pass the filter.</w:t>
      </w:r>
    </w:p>
    <w:p w14:paraId="14EE00AD"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 xml:space="preserve">I run the same test on each of the comparison regions as if they were the treated one. None of them show a gap as large as ERCOT. That means ERCOT is an outlier in the placebo </w:t>
      </w:r>
      <w:proofErr w:type="gramStart"/>
      <w:r>
        <w:rPr>
          <w:i/>
          <w:iCs/>
          <w:color w:val="1A1A1A"/>
        </w:rPr>
        <w:t>distribution — its</w:t>
      </w:r>
      <w:proofErr w:type="gramEnd"/>
      <w:r>
        <w:rPr>
          <w:i/>
          <w:iCs/>
          <w:color w:val="1A1A1A"/>
        </w:rPr>
        <w:t xml:space="preserve"> gap is the largest by a meaningful margin. With only 3 donors, ‘none of them’ gives us p = 0.25, not p = 0.01. That’s just the math.</w:t>
      </w:r>
    </w:p>
    <w:p w14:paraId="099CA160" w14:textId="77777777" w:rsidR="00EB78D2" w:rsidRDefault="00000000">
      <w:pPr>
        <w:pStyle w:val="Heading1"/>
      </w:pPr>
      <w:r>
        <w:t>5. Difference-in-Differences with Low-Exposure Controls</w:t>
      </w:r>
    </w:p>
    <w:p w14:paraId="58E7A003" w14:textId="77777777" w:rsidR="00EB78D2" w:rsidRDefault="00000000">
      <w:pPr>
        <w:pStyle w:val="Heading2"/>
      </w:pPr>
      <w:r>
        <w:t>What It Is</w:t>
      </w:r>
    </w:p>
    <w:p w14:paraId="48F27F83" w14:textId="77777777" w:rsidR="00EB78D2" w:rsidRDefault="00000000">
      <w:pPr>
        <w:spacing w:before="80" w:after="80"/>
      </w:pPr>
      <w:r>
        <w:rPr>
          <w:color w:val="1A1A1A"/>
        </w:rPr>
        <w:t>Difference-in-differences compares the change in outcomes over time for a treated group versus a control group. The ‘difference in differences’ is: (ERCOT after − ERCOT before) − (controls after − controls before).</w:t>
      </w:r>
    </w:p>
    <w:p w14:paraId="1A129810" w14:textId="77777777" w:rsidR="00EB78D2" w:rsidRDefault="00000000">
      <w:pPr>
        <w:spacing w:before="80" w:after="80"/>
      </w:pPr>
      <w:r>
        <w:rPr>
          <w:color w:val="1A1A1A"/>
        </w:rPr>
        <w:t>The key assumption is parallel trends: in the absence of treatment, ERCOT and the control group would have followed similar trajectories. You can’t prove this, but you can test it visually by checking whether pre-treatment trends were parallel.</w:t>
      </w:r>
    </w:p>
    <w:p w14:paraId="56605EA0" w14:textId="77777777" w:rsidR="00EB78D2" w:rsidRDefault="00000000">
      <w:pPr>
        <w:spacing w:before="80" w:after="80"/>
      </w:pPr>
      <w:r>
        <w:rPr>
          <w:color w:val="1A1A1A"/>
        </w:rPr>
        <w:t>In this paper, the control group is balancing authorities classified as low-exposure: ISONE (New England), NYISO (New York), and SPP (Great Plains), based on their cumulative 100MW+ queue filing histories from the LBNL data.</w:t>
      </w:r>
    </w:p>
    <w:p w14:paraId="4A1AFE89" w14:textId="77777777" w:rsidR="00EB78D2" w:rsidRDefault="00000000">
      <w:pPr>
        <w:pStyle w:val="Heading2"/>
      </w:pPr>
      <w:r>
        <w:t>Why We Used It</w:t>
      </w:r>
    </w:p>
    <w:p w14:paraId="08A3A284" w14:textId="77777777" w:rsidR="00EB78D2" w:rsidRDefault="00000000">
      <w:pPr>
        <w:spacing w:before="80" w:after="80"/>
      </w:pPr>
      <w:r>
        <w:rPr>
          <w:color w:val="1A1A1A"/>
        </w:rPr>
        <w:t xml:space="preserve">The </w:t>
      </w:r>
      <w:proofErr w:type="spellStart"/>
      <w:r>
        <w:rPr>
          <w:color w:val="1A1A1A"/>
        </w:rPr>
        <w:t>DiD</w:t>
      </w:r>
      <w:proofErr w:type="spellEnd"/>
      <w:r>
        <w:rPr>
          <w:color w:val="1A1A1A"/>
        </w:rPr>
        <w:t xml:space="preserve"> provides the ‘upper end’ of the estimated range. Unlike the synthetic control with contaminated PJM/MISO donors, the </w:t>
      </w:r>
      <w:proofErr w:type="spellStart"/>
      <w:r>
        <w:rPr>
          <w:color w:val="1A1A1A"/>
        </w:rPr>
        <w:t>DiD</w:t>
      </w:r>
      <w:proofErr w:type="spellEnd"/>
      <w:r>
        <w:rPr>
          <w:color w:val="1A1A1A"/>
        </w:rPr>
        <w:t xml:space="preserve"> uses genuinely untreated comparison units. It directly tests whether ERCOT’s trajectory diverged from regions that didn’t experience the data center surge, using the cleanest available controls.</w:t>
      </w:r>
    </w:p>
    <w:p w14:paraId="089E6624" w14:textId="77777777" w:rsidR="00EB78D2" w:rsidRDefault="00000000">
      <w:pPr>
        <w:spacing w:before="80" w:after="80"/>
      </w:pPr>
      <w:r>
        <w:rPr>
          <w:color w:val="1A1A1A"/>
        </w:rPr>
        <w:t xml:space="preserve">It also serves as a consistency check: if </w:t>
      </w:r>
      <w:proofErr w:type="spellStart"/>
      <w:r>
        <w:rPr>
          <w:color w:val="1A1A1A"/>
        </w:rPr>
        <w:t>the</w:t>
      </w:r>
      <w:proofErr w:type="spellEnd"/>
      <w:r>
        <w:rPr>
          <w:color w:val="1A1A1A"/>
        </w:rPr>
        <w:t xml:space="preserve"> </w:t>
      </w:r>
      <w:proofErr w:type="spellStart"/>
      <w:r>
        <w:rPr>
          <w:color w:val="1A1A1A"/>
        </w:rPr>
        <w:t>DiD</w:t>
      </w:r>
      <w:proofErr w:type="spellEnd"/>
      <w:r>
        <w:rPr>
          <w:color w:val="1A1A1A"/>
        </w:rPr>
        <w:t xml:space="preserve"> estimate sits above the contaminated SC estimate, that ordering confirms the contamination story. It does.</w:t>
      </w:r>
    </w:p>
    <w:p w14:paraId="3FC131CB" w14:textId="77777777" w:rsidR="00EB78D2" w:rsidRDefault="00000000">
      <w:pPr>
        <w:pStyle w:val="Heading2"/>
      </w:pPr>
      <w:r>
        <w:t>What It Tells Us</w:t>
      </w:r>
    </w:p>
    <w:p w14:paraId="71A013DB" w14:textId="77777777" w:rsidR="00EB78D2" w:rsidRDefault="00000000">
      <w:pPr>
        <w:spacing w:before="80" w:after="80"/>
      </w:pPr>
      <w:r>
        <w:rPr>
          <w:color w:val="1A1A1A"/>
        </w:rPr>
        <w:t xml:space="preserve">Coefficient: </w:t>
      </w:r>
      <w:r>
        <w:rPr>
          <w:b/>
          <w:bCs/>
          <w:color w:val="1A1A1A"/>
        </w:rPr>
        <w:t>9.8 index points</w:t>
      </w:r>
      <w:r>
        <w:rPr>
          <w:color w:val="1A1A1A"/>
        </w:rPr>
        <w:t xml:space="preserve">, wild bootstrap p = </w:t>
      </w:r>
      <w:r>
        <w:rPr>
          <w:b/>
          <w:bCs/>
          <w:color w:val="1A1A1A"/>
        </w:rPr>
        <w:t>0.125</w:t>
      </w:r>
      <w:r>
        <w:rPr>
          <w:color w:val="1A1A1A"/>
        </w:rPr>
        <w:t xml:space="preserve"> (minimum achievable given cluster count). ERCOT’s demand grew 9.8 index points more than the low-exposure control group after May 2023, after controlling for BA fixed effects and month-year fixed effects.</w:t>
      </w:r>
    </w:p>
    <w:p w14:paraId="2526B3F8" w14:textId="77777777" w:rsidR="00EB78D2" w:rsidRDefault="00000000">
      <w:pPr>
        <w:spacing w:before="80" w:after="80"/>
      </w:pPr>
      <w:r>
        <w:rPr>
          <w:color w:val="1A1A1A"/>
        </w:rPr>
        <w:t>This sits above the contaminated SC-1 estimate and uses the same low-exposure BAs as the SC-3 clean donor pool — one classification decision serving both methods simultaneously.</w:t>
      </w:r>
    </w:p>
    <w:p w14:paraId="58D2EADD" w14:textId="77777777" w:rsidR="00EB78D2" w:rsidRDefault="00000000">
      <w:pPr>
        <w:pStyle w:val="Heading2"/>
      </w:pPr>
      <w:r>
        <w:t>Its Limits</w:t>
      </w:r>
    </w:p>
    <w:p w14:paraId="2E88FBD9" w14:textId="77777777" w:rsidR="00EB78D2" w:rsidRDefault="00000000">
      <w:pPr>
        <w:pStyle w:val="ListParagraph"/>
        <w:numPr>
          <w:ilvl w:val="0"/>
          <w:numId w:val="2"/>
        </w:numPr>
        <w:spacing w:before="60" w:after="60"/>
      </w:pPr>
      <w:r>
        <w:rPr>
          <w:color w:val="1A1A1A"/>
        </w:rPr>
        <w:t>Parallel trends is an untestable assumption in the strict sense. The pre-treatment visual check is supportive but not proof.</w:t>
      </w:r>
    </w:p>
    <w:p w14:paraId="58328C52" w14:textId="77777777" w:rsidR="00EB78D2" w:rsidRDefault="00000000">
      <w:pPr>
        <w:pStyle w:val="ListParagraph"/>
        <w:numPr>
          <w:ilvl w:val="0"/>
          <w:numId w:val="2"/>
        </w:numPr>
        <w:spacing w:before="60" w:after="60"/>
      </w:pPr>
      <w:r>
        <w:rPr>
          <w:color w:val="1A1A1A"/>
        </w:rPr>
        <w:lastRenderedPageBreak/>
        <w:t>ISONE and NYISO are not blank slates. They had some data center investment, just less than ERCOT, PJM, or MISO. The treatment contrast is ‘high vs. low exposure,’ not ‘treated vs. completely untreated.’</w:t>
      </w:r>
    </w:p>
    <w:p w14:paraId="263E137C" w14:textId="77777777" w:rsidR="00EB78D2" w:rsidRDefault="00000000">
      <w:pPr>
        <w:pStyle w:val="ListParagraph"/>
        <w:numPr>
          <w:ilvl w:val="0"/>
          <w:numId w:val="2"/>
        </w:numPr>
        <w:spacing w:before="60" w:after="60"/>
      </w:pPr>
      <w:r>
        <w:rPr>
          <w:color w:val="1A1A1A"/>
        </w:rPr>
        <w:t>Three clusters again. Same minimum p-value constraint as the panel regression.</w:t>
      </w:r>
    </w:p>
    <w:p w14:paraId="367E52E4"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Compared to New England, New York, and the Great Plains — regions that didn’t get the data center surge — ERCOT demand grew about 9.8 index points more after May 2023. That’s the cleanest comparison in the paper. It’s the upper end of the estimated range because the control group is the least contaminated.</w:t>
      </w:r>
    </w:p>
    <w:p w14:paraId="273EBC50" w14:textId="77777777" w:rsidR="00EB78D2" w:rsidRDefault="00000000">
      <w:pPr>
        <w:pStyle w:val="Heading1"/>
      </w:pPr>
      <w:r>
        <w:t>6. Bai-Perron Structural Break Test</w:t>
      </w:r>
    </w:p>
    <w:p w14:paraId="2CCB077B" w14:textId="77777777" w:rsidR="00EB78D2" w:rsidRDefault="00000000">
      <w:pPr>
        <w:pStyle w:val="Heading2"/>
      </w:pPr>
      <w:r>
        <w:t>What It Is</w:t>
      </w:r>
    </w:p>
    <w:p w14:paraId="03EAB8ED" w14:textId="77777777" w:rsidR="00EB78D2" w:rsidRDefault="00000000">
      <w:pPr>
        <w:spacing w:before="80" w:after="80"/>
      </w:pPr>
      <w:r>
        <w:rPr>
          <w:color w:val="1A1A1A"/>
        </w:rPr>
        <w:t>A structural break test asks: is there a point in time at which a time series exhibits a statistically significant change in its mean or trend? The Bai-Perron test (Bai &amp; Perron 1998, 2003) is the standard method for testing for multiple structural breaks simultaneously, identifying both whether a break exists and when it occurred.</w:t>
      </w:r>
    </w:p>
    <w:p w14:paraId="5EC51B43" w14:textId="77777777" w:rsidR="00EB78D2" w:rsidRDefault="00000000">
      <w:pPr>
        <w:spacing w:before="80" w:after="80"/>
      </w:pPr>
      <w:r>
        <w:rPr>
          <w:color w:val="1A1A1A"/>
        </w:rPr>
        <w:t xml:space="preserve">The </w:t>
      </w:r>
      <w:proofErr w:type="spellStart"/>
      <w:r>
        <w:rPr>
          <w:color w:val="1A1A1A"/>
        </w:rPr>
        <w:t>UDmax</w:t>
      </w:r>
      <w:proofErr w:type="spellEnd"/>
      <w:r>
        <w:rPr>
          <w:color w:val="1A1A1A"/>
        </w:rPr>
        <w:t xml:space="preserve"> statistic is the test statistic for the null hypothesis that no structural break exists at all. A </w:t>
      </w:r>
      <w:proofErr w:type="spellStart"/>
      <w:r>
        <w:rPr>
          <w:color w:val="1A1A1A"/>
        </w:rPr>
        <w:t>UDmax</w:t>
      </w:r>
      <w:proofErr w:type="spellEnd"/>
      <w:r>
        <w:rPr>
          <w:color w:val="1A1A1A"/>
        </w:rPr>
        <w:t xml:space="preserve"> above the critical threshold means we reject the null and accept that at least one break occurred. The identified break date is the point that maximizes the fit improvement.</w:t>
      </w:r>
    </w:p>
    <w:p w14:paraId="4AB3B7E6" w14:textId="77777777" w:rsidR="00EB78D2" w:rsidRDefault="00000000">
      <w:pPr>
        <w:pStyle w:val="Heading2"/>
      </w:pPr>
      <w:r>
        <w:t>Why We Used It (and the Critical Sequencing Rule)</w:t>
      </w:r>
    </w:p>
    <w:p w14:paraId="6BA2D53C" w14:textId="77777777" w:rsidR="00EB78D2" w:rsidRDefault="00000000">
      <w:pPr>
        <w:spacing w:before="80" w:after="80"/>
      </w:pPr>
      <w:r>
        <w:rPr>
          <w:color w:val="1A1A1A"/>
        </w:rPr>
        <w:t xml:space="preserve">We use the Bai-Perron test to identify the treatment date for the synthetic control and </w:t>
      </w:r>
      <w:proofErr w:type="spellStart"/>
      <w:proofErr w:type="gramStart"/>
      <w:r>
        <w:rPr>
          <w:color w:val="1A1A1A"/>
        </w:rPr>
        <w:t>DiD</w:t>
      </w:r>
      <w:proofErr w:type="spellEnd"/>
      <w:proofErr w:type="gramEnd"/>
      <w:r>
        <w:rPr>
          <w:color w:val="1A1A1A"/>
        </w:rPr>
        <w:t>. We cannot choose the treatment date after seeing which date produces the largest gap — that would be data mining. The test gives us a date from the data, blind to what the gap looks like.</w:t>
      </w:r>
    </w:p>
    <w:p w14:paraId="60DB411A" w14:textId="77777777" w:rsidR="00EB78D2" w:rsidRDefault="00000000">
      <w:pPr>
        <w:spacing w:before="80" w:after="80"/>
      </w:pPr>
      <w:r>
        <w:rPr>
          <w:color w:val="1A1A1A"/>
        </w:rPr>
        <w:t xml:space="preserve">The test was run on ERCOT demand only. Result: structural break at </w:t>
      </w:r>
      <w:r>
        <w:rPr>
          <w:b/>
          <w:bCs/>
          <w:color w:val="1A1A1A"/>
        </w:rPr>
        <w:t>2023m5 (May 2023)</w:t>
      </w:r>
      <w:r>
        <w:rPr>
          <w:color w:val="1A1A1A"/>
        </w:rPr>
        <w:t xml:space="preserve">, </w:t>
      </w:r>
      <w:proofErr w:type="spellStart"/>
      <w:r>
        <w:rPr>
          <w:color w:val="1A1A1A"/>
        </w:rPr>
        <w:t>UDmax</w:t>
      </w:r>
      <w:proofErr w:type="spellEnd"/>
      <w:r>
        <w:rPr>
          <w:color w:val="1A1A1A"/>
        </w:rPr>
        <w:t xml:space="preserve"> = </w:t>
      </w:r>
      <w:r>
        <w:rPr>
          <w:b/>
          <w:bCs/>
          <w:color w:val="1A1A1A"/>
        </w:rPr>
        <w:t>35.39</w:t>
      </w:r>
      <w:r>
        <w:rPr>
          <w:color w:val="1A1A1A"/>
        </w:rPr>
        <w:t>. The break date was recorded before any synthetic control estimates were examined. This sequencing is a core integrity principle.</w:t>
      </w:r>
    </w:p>
    <w:p w14:paraId="565D6846" w14:textId="77777777" w:rsidR="00EB78D2" w:rsidRDefault="00000000">
      <w:pPr>
        <w:pStyle w:val="Heading2"/>
      </w:pPr>
      <w:r>
        <w:t>Why May 2023 Makes Sense</w:t>
      </w:r>
    </w:p>
    <w:p w14:paraId="58761980" w14:textId="77777777" w:rsidR="00EB78D2" w:rsidRDefault="00000000">
      <w:pPr>
        <w:spacing w:before="80" w:after="80"/>
      </w:pPr>
      <w:r>
        <w:rPr>
          <w:color w:val="1A1A1A"/>
        </w:rPr>
        <w:t>Data center investment announcements in ERCOT began in earnest in 2021 and 2022. Construction timelines of 18 to 24 months mean facilities announced in late 2021 and through 2022 would have been drawing power in 2023. The Bai-Perron result aligns with when the physical infrastructure would have started loading onto the grid.</w:t>
      </w:r>
    </w:p>
    <w:p w14:paraId="45BD15B2" w14:textId="77777777" w:rsidR="00EB78D2" w:rsidRDefault="00000000">
      <w:pPr>
        <w:spacing w:before="80" w:after="80"/>
      </w:pPr>
      <w:r>
        <w:rPr>
          <w:color w:val="1A1A1A"/>
        </w:rPr>
        <w:t xml:space="preserve">The calendar robustness check </w:t>
      </w:r>
      <w:proofErr w:type="gramStart"/>
      <w:r>
        <w:rPr>
          <w:color w:val="1A1A1A"/>
        </w:rPr>
        <w:t>at</w:t>
      </w:r>
      <w:proofErr w:type="gramEnd"/>
      <w:r>
        <w:rPr>
          <w:color w:val="1A1A1A"/>
        </w:rPr>
        <w:t xml:space="preserve"> January 2022 produces a smaller gap — confirming that 2023m5 is the better-fitting structural break, not just the one we preferred.</w:t>
      </w:r>
    </w:p>
    <w:p w14:paraId="01F63179" w14:textId="77777777" w:rsidR="00EB78D2" w:rsidRDefault="00000000">
      <w:pPr>
        <w:pStyle w:val="Heading2"/>
      </w:pPr>
      <w:r>
        <w:t>The CAISO Contrast</w:t>
      </w:r>
    </w:p>
    <w:p w14:paraId="5CD4A055" w14:textId="77777777" w:rsidR="00EB78D2" w:rsidRDefault="00000000">
      <w:pPr>
        <w:spacing w:before="80" w:after="80"/>
      </w:pPr>
      <w:r>
        <w:rPr>
          <w:color w:val="1A1A1A"/>
        </w:rPr>
        <w:t xml:space="preserve">Applied to CAISO demand, the Bai-Perron test produces </w:t>
      </w:r>
      <w:proofErr w:type="spellStart"/>
      <w:r>
        <w:rPr>
          <w:color w:val="1A1A1A"/>
        </w:rPr>
        <w:t>UDmax</w:t>
      </w:r>
      <w:proofErr w:type="spellEnd"/>
      <w:r>
        <w:rPr>
          <w:color w:val="1A1A1A"/>
        </w:rPr>
        <w:t xml:space="preserve"> = </w:t>
      </w:r>
      <w:r>
        <w:rPr>
          <w:b/>
          <w:bCs/>
          <w:color w:val="1A1A1A"/>
        </w:rPr>
        <w:t>4.00</w:t>
      </w:r>
      <w:r>
        <w:rPr>
          <w:color w:val="1A1A1A"/>
        </w:rPr>
        <w:t xml:space="preserve"> — well below the threshold to reject the null. No structural break is detected. This is why the CAISO synthetic control cannot be given causal weight: without a credibly identified treatment date, the counterfactual comparison loses its interpretive anchor.</w:t>
      </w:r>
    </w:p>
    <w:p w14:paraId="6417D19E" w14:textId="77777777" w:rsidR="00EB78D2" w:rsidRDefault="00000000">
      <w:pPr>
        <w:pStyle w:val="Heading2"/>
      </w:pPr>
      <w:r>
        <w:t>Its Limits</w:t>
      </w:r>
    </w:p>
    <w:p w14:paraId="00D18B18" w14:textId="77777777" w:rsidR="00EB78D2" w:rsidRDefault="00000000">
      <w:pPr>
        <w:pStyle w:val="ListParagraph"/>
        <w:numPr>
          <w:ilvl w:val="0"/>
          <w:numId w:val="2"/>
        </w:numPr>
        <w:spacing w:before="60" w:after="60"/>
      </w:pPr>
      <w:r>
        <w:rPr>
          <w:color w:val="1A1A1A"/>
        </w:rPr>
        <w:t>The test works best with sharp, clean breaks. Gradual treatments that unfold over years are harder to detect.</w:t>
      </w:r>
    </w:p>
    <w:p w14:paraId="01D1D264" w14:textId="77777777" w:rsidR="00EB78D2" w:rsidRDefault="00000000">
      <w:pPr>
        <w:pStyle w:val="ListParagraph"/>
        <w:numPr>
          <w:ilvl w:val="0"/>
          <w:numId w:val="2"/>
        </w:numPr>
        <w:spacing w:before="60" w:after="60"/>
      </w:pPr>
      <w:r>
        <w:rPr>
          <w:color w:val="1A1A1A"/>
        </w:rPr>
        <w:lastRenderedPageBreak/>
        <w:t>The identified date is the point of maximum fit improvement, not necessarily the economic event of interest. It’s possible the grid absorbed the load gradually before the test’s threshold was crossed.</w:t>
      </w:r>
    </w:p>
    <w:p w14:paraId="6981026B"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I ran a statistical test on ERCOT demand asking: ‘Is there a specific point where the trajectory meaningfully shifted?’ The answer was yes — May 2023, with a test statistic of 35.39. I recorded that date before looking at any results. That date is then used as the treatment date for the rest of the identification strategy.</w:t>
      </w:r>
    </w:p>
    <w:p w14:paraId="1546C223" w14:textId="77777777" w:rsidR="00EB78D2" w:rsidRDefault="00000000">
      <w:pPr>
        <w:pStyle w:val="Heading1"/>
      </w:pPr>
      <w:r>
        <w:t xml:space="preserve">7. </w:t>
      </w:r>
      <w:proofErr w:type="spellStart"/>
      <w:r>
        <w:t>Winsorization</w:t>
      </w:r>
      <w:proofErr w:type="spellEnd"/>
      <w:r>
        <w:t xml:space="preserve"> of Queue Variables</w:t>
      </w:r>
    </w:p>
    <w:p w14:paraId="56927C39" w14:textId="77777777" w:rsidR="00EB78D2" w:rsidRDefault="00000000">
      <w:pPr>
        <w:pStyle w:val="Heading2"/>
      </w:pPr>
      <w:r>
        <w:t>What It Is</w:t>
      </w:r>
    </w:p>
    <w:p w14:paraId="4CB489CC" w14:textId="77777777" w:rsidR="00EB78D2" w:rsidRDefault="00000000">
      <w:pPr>
        <w:spacing w:before="80" w:after="80"/>
      </w:pPr>
      <w:proofErr w:type="spellStart"/>
      <w:r>
        <w:rPr>
          <w:color w:val="1A1A1A"/>
        </w:rPr>
        <w:t>Winsorization</w:t>
      </w:r>
      <w:proofErr w:type="spellEnd"/>
      <w:r>
        <w:rPr>
          <w:color w:val="1A1A1A"/>
        </w:rPr>
        <w:t xml:space="preserve"> is a technique for handling extreme outliers in a variable by capping the values at a specified percentile rather than dropping the observations entirely. Values above the cap are set equal to the cap value. Values below are left unchanged.</w:t>
      </w:r>
    </w:p>
    <w:p w14:paraId="451730F3" w14:textId="77777777" w:rsidR="00EB78D2" w:rsidRDefault="00000000">
      <w:pPr>
        <w:spacing w:before="80" w:after="80"/>
      </w:pPr>
      <w:r>
        <w:rPr>
          <w:color w:val="1A1A1A"/>
        </w:rPr>
        <w:t>It’s different from trimming (which drops extreme observations) because all observations remain in the sample. Only the extreme values are modified.</w:t>
      </w:r>
    </w:p>
    <w:p w14:paraId="25BDABF3" w14:textId="77777777" w:rsidR="00EB78D2" w:rsidRDefault="00000000">
      <w:pPr>
        <w:pStyle w:val="Heading2"/>
      </w:pPr>
      <w:r>
        <w:t>Why We Applied It Here</w:t>
      </w:r>
    </w:p>
    <w:p w14:paraId="787A62AA" w14:textId="77777777" w:rsidR="00EB78D2" w:rsidRDefault="00000000">
      <w:pPr>
        <w:spacing w:before="80" w:after="80"/>
      </w:pPr>
      <w:r>
        <w:rPr>
          <w:color w:val="1A1A1A"/>
        </w:rPr>
        <w:t>Two observations in the MISO queue series are extreme by any measure: 154,214 MW (2024m3) and 102,870 MW (2025m10 after lagging). These are traceable to MISO’s 2022 queue reform batch-filing spike — an institutional artifact where a large backlog of projects was processed at once, not a genuine surge in data center activity.</w:t>
      </w:r>
    </w:p>
    <w:p w14:paraId="0A28085A" w14:textId="77777777" w:rsidR="00EB78D2" w:rsidRDefault="00000000">
      <w:pPr>
        <w:spacing w:before="80" w:after="80"/>
      </w:pPr>
      <w:r>
        <w:rPr>
          <w:color w:val="1A1A1A"/>
        </w:rPr>
        <w:t xml:space="preserve">Without </w:t>
      </w:r>
      <w:proofErr w:type="spellStart"/>
      <w:r>
        <w:rPr>
          <w:color w:val="1A1A1A"/>
        </w:rPr>
        <w:t>winsorization</w:t>
      </w:r>
      <w:proofErr w:type="spellEnd"/>
      <w:r>
        <w:rPr>
          <w:color w:val="1A1A1A"/>
        </w:rPr>
        <w:t xml:space="preserve">, these two observations drive the primary coefficient </w:t>
      </w:r>
      <w:proofErr w:type="gramStart"/>
      <w:r>
        <w:rPr>
          <w:color w:val="1A1A1A"/>
        </w:rPr>
        <w:t>negative</w:t>
      </w:r>
      <w:proofErr w:type="gramEnd"/>
      <w:r>
        <w:rPr>
          <w:color w:val="1A1A1A"/>
        </w:rPr>
        <w:t>. That’s not a signal about data centers — it’s leverage from an institutional outlier. The jump from the 90th percentile (9,350 MW) to the 99th percentile (102,870 MW) is a ten-fold gap with nothing in between. These are not on the same distribution as the rest of the data.</w:t>
      </w:r>
    </w:p>
    <w:p w14:paraId="3CD50A16" w14:textId="77777777" w:rsidR="00EB78D2" w:rsidRDefault="00000000">
      <w:pPr>
        <w:spacing w:before="80" w:after="80"/>
      </w:pPr>
      <w:proofErr w:type="spellStart"/>
      <w:r>
        <w:rPr>
          <w:color w:val="1A1A1A"/>
        </w:rPr>
        <w:t>Winsorization</w:t>
      </w:r>
      <w:proofErr w:type="spellEnd"/>
      <w:r>
        <w:rPr>
          <w:color w:val="1A1A1A"/>
        </w:rPr>
        <w:t xml:space="preserve"> threshold: 95th percentile = </w:t>
      </w:r>
      <w:r>
        <w:rPr>
          <w:b/>
          <w:bCs/>
          <w:color w:val="1A1A1A"/>
        </w:rPr>
        <w:t>18,588 MW</w:t>
      </w:r>
      <w:r>
        <w:rPr>
          <w:color w:val="1A1A1A"/>
        </w:rPr>
        <w:t>. Applied consistently across all lag specifications and robustness checks. Nine observations affected.</w:t>
      </w:r>
    </w:p>
    <w:p w14:paraId="53F0B9F8" w14:textId="77777777" w:rsidR="00EB78D2" w:rsidRDefault="00000000">
      <w:pPr>
        <w:pStyle w:val="Heading2"/>
      </w:pPr>
      <w:r>
        <w:t>Why Not Just Drop Those Observations?</w:t>
      </w:r>
    </w:p>
    <w:p w14:paraId="551B3FFA" w14:textId="77777777" w:rsidR="00EB78D2" w:rsidRDefault="00000000">
      <w:pPr>
        <w:spacing w:before="80" w:after="80"/>
      </w:pPr>
      <w:r>
        <w:rPr>
          <w:color w:val="1A1A1A"/>
        </w:rPr>
        <w:t xml:space="preserve">Dropping observations requires justification and can introduce sample selection concerns. </w:t>
      </w:r>
      <w:proofErr w:type="spellStart"/>
      <w:r>
        <w:rPr>
          <w:color w:val="1A1A1A"/>
        </w:rPr>
        <w:t>Winsorization</w:t>
      </w:r>
      <w:proofErr w:type="spellEnd"/>
      <w:r>
        <w:rPr>
          <w:color w:val="1A1A1A"/>
        </w:rPr>
        <w:t xml:space="preserve"> is a more conservative and transparent approach: we keep the observations in the sample but limit their leverage by capping them at a value still within the plausible range of the data. The 95th percentile cap is generous — it preserves genuine high-filing months while eliminating the institutional artifact.</w:t>
      </w:r>
    </w:p>
    <w:p w14:paraId="11722E58" w14:textId="77777777" w:rsidR="00EB78D2" w:rsidRDefault="00000000">
      <w:pPr>
        <w:pStyle w:val="Heading2"/>
      </w:pPr>
      <w:r>
        <w:t>Its Limits</w:t>
      </w:r>
    </w:p>
    <w:p w14:paraId="6468953F" w14:textId="77777777" w:rsidR="00EB78D2" w:rsidRDefault="00000000">
      <w:pPr>
        <w:pStyle w:val="ListParagraph"/>
        <w:numPr>
          <w:ilvl w:val="0"/>
          <w:numId w:val="2"/>
        </w:numPr>
        <w:spacing w:before="60" w:after="60"/>
      </w:pPr>
      <w:r>
        <w:rPr>
          <w:color w:val="1A1A1A"/>
        </w:rPr>
        <w:t xml:space="preserve">The choice of </w:t>
      </w:r>
      <w:proofErr w:type="spellStart"/>
      <w:r>
        <w:rPr>
          <w:color w:val="1A1A1A"/>
        </w:rPr>
        <w:t>winsorization</w:t>
      </w:r>
      <w:proofErr w:type="spellEnd"/>
      <w:r>
        <w:rPr>
          <w:color w:val="1A1A1A"/>
        </w:rPr>
        <w:t xml:space="preserve"> threshold (p95) is a judgment call. We report it explicitly and apply it consistently.</w:t>
      </w:r>
    </w:p>
    <w:p w14:paraId="1B328355" w14:textId="77777777" w:rsidR="00EB78D2" w:rsidRDefault="00000000">
      <w:pPr>
        <w:pStyle w:val="ListParagraph"/>
        <w:numPr>
          <w:ilvl w:val="0"/>
          <w:numId w:val="2"/>
        </w:numPr>
        <w:spacing w:before="60" w:after="60"/>
      </w:pPr>
      <w:r>
        <w:rPr>
          <w:color w:val="1A1A1A"/>
        </w:rPr>
        <w:t xml:space="preserve">If the extreme MISO observations were genuinely informative rather than an artifact, </w:t>
      </w:r>
      <w:proofErr w:type="spellStart"/>
      <w:r>
        <w:rPr>
          <w:color w:val="1A1A1A"/>
        </w:rPr>
        <w:t>winsorization</w:t>
      </w:r>
      <w:proofErr w:type="spellEnd"/>
      <w:r>
        <w:rPr>
          <w:color w:val="1A1A1A"/>
        </w:rPr>
        <w:t xml:space="preserve"> would attenuate the relevant variation. The institutional documentation of the 2022 queue reform spike supports treating them as artifacts.</w:t>
      </w:r>
    </w:p>
    <w:p w14:paraId="7BE50780" w14:textId="77777777" w:rsidR="00EB78D2" w:rsidRDefault="00000000">
      <w:pPr>
        <w:pBdr>
          <w:top w:val="single" w:sz="2" w:space="0" w:color="2E75B6"/>
          <w:left w:val="single" w:sz="12" w:space="0" w:color="2E75B6"/>
          <w:bottom w:val="single" w:sz="2" w:space="0" w:color="2E75B6"/>
          <w:right w:val="single" w:sz="2" w:space="0" w:color="2E75B6"/>
        </w:pBdr>
        <w:spacing w:before="160" w:after="160"/>
        <w:ind w:left="280" w:right="280"/>
      </w:pPr>
      <w:r>
        <w:rPr>
          <w:b/>
          <w:bCs/>
          <w:color w:val="2E75B6"/>
        </w:rPr>
        <w:t xml:space="preserve">Plain English: </w:t>
      </w:r>
      <w:r>
        <w:rPr>
          <w:i/>
          <w:iCs/>
          <w:color w:val="1A1A1A"/>
        </w:rPr>
        <w:t xml:space="preserve">Two observations in the MISO data are absurdly large — the result of an administrative backlog being processed all at once, not actual data center activity. Without capping them, they flip the coefficient negative. </w:t>
      </w:r>
      <w:proofErr w:type="gramStart"/>
      <w:r>
        <w:rPr>
          <w:i/>
          <w:iCs/>
          <w:color w:val="1A1A1A"/>
        </w:rPr>
        <w:t>So</w:t>
      </w:r>
      <w:proofErr w:type="gramEnd"/>
      <w:r>
        <w:rPr>
          <w:i/>
          <w:iCs/>
          <w:color w:val="1A1A1A"/>
        </w:rPr>
        <w:t xml:space="preserve"> I cap them at the 95th percentile of the distribution, which still allows for large legitimate filing months, and apply that cap consistently in every specification.</w:t>
      </w:r>
    </w:p>
    <w:p w14:paraId="1C5DBF79" w14:textId="77777777" w:rsidR="00EB78D2" w:rsidRDefault="00EB78D2">
      <w:pPr>
        <w:pBdr>
          <w:bottom w:val="single" w:sz="4" w:space="1" w:color="CCCCCC"/>
        </w:pBdr>
        <w:spacing w:before="200" w:after="200"/>
      </w:pPr>
    </w:p>
    <w:p w14:paraId="5387561A" w14:textId="77777777" w:rsidR="00EB78D2" w:rsidRDefault="00000000">
      <w:pPr>
        <w:pStyle w:val="Heading1"/>
      </w:pPr>
      <w:r>
        <w:t>Quick Reference: Methods at a Glance</w:t>
      </w:r>
    </w:p>
    <w:p w14:paraId="09FF18C9" w14:textId="77777777" w:rsidR="00EB78D2" w:rsidRDefault="00EB78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80"/>
        <w:gridCol w:w="2880"/>
      </w:tblGrid>
      <w:tr w:rsidR="00EB78D2" w14:paraId="5BA8D81F" w14:textId="77777777">
        <w:tc>
          <w:tcPr>
            <w:tcW w:w="2000" w:type="dxa"/>
            <w:tcBorders>
              <w:top w:val="single" w:sz="1" w:space="0" w:color="CCCCCC"/>
              <w:left w:val="single" w:sz="1" w:space="0" w:color="CCCCCC"/>
              <w:bottom w:val="single" w:sz="1" w:space="0" w:color="CCCCCC"/>
              <w:right w:val="single" w:sz="1" w:space="0" w:color="CCCCCC"/>
            </w:tcBorders>
            <w:shd w:val="clear" w:color="auto" w:fill="C6D9EE"/>
            <w:tcMar>
              <w:top w:w="80" w:type="dxa"/>
              <w:left w:w="120" w:type="dxa"/>
              <w:bottom w:w="80" w:type="dxa"/>
              <w:right w:w="120" w:type="dxa"/>
            </w:tcMar>
          </w:tcPr>
          <w:p w14:paraId="1A669BBB" w14:textId="77777777" w:rsidR="00EB78D2" w:rsidRDefault="00000000">
            <w:r>
              <w:rPr>
                <w:b/>
                <w:bCs/>
                <w:color w:val="1A1A1A"/>
                <w:sz w:val="19"/>
                <w:szCs w:val="19"/>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C6D9EE"/>
            <w:tcMar>
              <w:top w:w="80" w:type="dxa"/>
              <w:left w:w="120" w:type="dxa"/>
              <w:bottom w:w="80" w:type="dxa"/>
              <w:right w:w="120" w:type="dxa"/>
            </w:tcMar>
          </w:tcPr>
          <w:p w14:paraId="6D711E10" w14:textId="77777777" w:rsidR="00EB78D2" w:rsidRDefault="00000000">
            <w:r>
              <w:rPr>
                <w:b/>
                <w:bCs/>
                <w:color w:val="1A1A1A"/>
                <w:sz w:val="19"/>
                <w:szCs w:val="19"/>
              </w:rPr>
              <w:t>Key Result</w:t>
            </w:r>
          </w:p>
        </w:tc>
        <w:tc>
          <w:tcPr>
            <w:tcW w:w="2480" w:type="dxa"/>
            <w:tcBorders>
              <w:top w:val="single" w:sz="1" w:space="0" w:color="CCCCCC"/>
              <w:left w:val="single" w:sz="1" w:space="0" w:color="CCCCCC"/>
              <w:bottom w:val="single" w:sz="1" w:space="0" w:color="CCCCCC"/>
              <w:right w:val="single" w:sz="1" w:space="0" w:color="CCCCCC"/>
            </w:tcBorders>
            <w:shd w:val="clear" w:color="auto" w:fill="C6D9EE"/>
            <w:tcMar>
              <w:top w:w="80" w:type="dxa"/>
              <w:left w:w="120" w:type="dxa"/>
              <w:bottom w:w="80" w:type="dxa"/>
              <w:right w:w="120" w:type="dxa"/>
            </w:tcMar>
          </w:tcPr>
          <w:p w14:paraId="279B3071" w14:textId="77777777" w:rsidR="00EB78D2" w:rsidRDefault="00000000">
            <w:r>
              <w:rPr>
                <w:b/>
                <w:bCs/>
                <w:color w:val="1A1A1A"/>
                <w:sz w:val="19"/>
                <w:szCs w:val="19"/>
              </w:rPr>
              <w:t>Why It’s Limited</w:t>
            </w:r>
          </w:p>
        </w:tc>
        <w:tc>
          <w:tcPr>
            <w:tcW w:w="2880" w:type="dxa"/>
            <w:tcBorders>
              <w:top w:val="single" w:sz="1" w:space="0" w:color="CCCCCC"/>
              <w:left w:val="single" w:sz="1" w:space="0" w:color="CCCCCC"/>
              <w:bottom w:val="single" w:sz="1" w:space="0" w:color="CCCCCC"/>
              <w:right w:val="single" w:sz="1" w:space="0" w:color="CCCCCC"/>
            </w:tcBorders>
            <w:shd w:val="clear" w:color="auto" w:fill="C6D9EE"/>
            <w:tcMar>
              <w:top w:w="80" w:type="dxa"/>
              <w:left w:w="120" w:type="dxa"/>
              <w:bottom w:w="80" w:type="dxa"/>
              <w:right w:w="120" w:type="dxa"/>
            </w:tcMar>
          </w:tcPr>
          <w:p w14:paraId="079E36CC" w14:textId="77777777" w:rsidR="00EB78D2" w:rsidRDefault="00000000">
            <w:r>
              <w:rPr>
                <w:b/>
                <w:bCs/>
                <w:color w:val="1A1A1A"/>
                <w:sz w:val="19"/>
                <w:szCs w:val="19"/>
              </w:rPr>
              <w:t>Inference Constraint</w:t>
            </w:r>
          </w:p>
        </w:tc>
      </w:tr>
      <w:tr w:rsidR="00EB78D2" w14:paraId="40AED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F6F3" w14:textId="77777777" w:rsidR="00EB78D2" w:rsidRDefault="00000000">
            <w:r>
              <w:rPr>
                <w:color w:val="1A1A1A"/>
                <w:sz w:val="19"/>
                <w:szCs w:val="19"/>
              </w:rPr>
              <w:t>Panel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B260" w14:textId="77777777" w:rsidR="00EB78D2" w:rsidRDefault="00000000">
            <w:r>
              <w:rPr>
                <w:color w:val="1A1A1A"/>
                <w:sz w:val="19"/>
                <w:szCs w:val="19"/>
              </w:rPr>
              <w:t>β = 0.029, p = 0.063</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EE82" w14:textId="77777777" w:rsidR="00EB78D2" w:rsidRDefault="00000000">
            <w:r>
              <w:rPr>
                <w:color w:val="1A1A1A"/>
                <w:sz w:val="19"/>
                <w:szCs w:val="19"/>
              </w:rPr>
              <w:t>G=3 clusters; level shift; proxy treatment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6BEB4" w14:textId="77777777" w:rsidR="00EB78D2" w:rsidRDefault="00000000">
            <w:r>
              <w:rPr>
                <w:color w:val="1A1A1A"/>
                <w:sz w:val="19"/>
                <w:szCs w:val="19"/>
              </w:rPr>
              <w:t xml:space="preserve">Min p = 0.125 (full </w:t>
            </w:r>
            <w:proofErr w:type="spellStart"/>
            <w:r>
              <w:rPr>
                <w:color w:val="1A1A1A"/>
                <w:sz w:val="19"/>
                <w:szCs w:val="19"/>
              </w:rPr>
              <w:t>enum</w:t>
            </w:r>
            <w:proofErr w:type="spellEnd"/>
            <w:r>
              <w:rPr>
                <w:color w:val="1A1A1A"/>
                <w:sz w:val="19"/>
                <w:szCs w:val="19"/>
              </w:rPr>
              <w:t>.)</w:t>
            </w:r>
          </w:p>
        </w:tc>
      </w:tr>
      <w:tr w:rsidR="00EB78D2" w14:paraId="325593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24A44" w14:textId="77777777" w:rsidR="00EB78D2" w:rsidRDefault="00000000">
            <w:r>
              <w:rPr>
                <w:color w:val="1A1A1A"/>
                <w:sz w:val="19"/>
                <w:szCs w:val="19"/>
              </w:rPr>
              <w:t>SC Avg Demand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7C979" w14:textId="77777777" w:rsidR="00EB78D2" w:rsidRDefault="00000000">
            <w:r>
              <w:rPr>
                <w:color w:val="1A1A1A"/>
                <w:sz w:val="19"/>
                <w:szCs w:val="19"/>
              </w:rPr>
              <w:t>SC-3 gap: 24.5 pts, p=0.25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1EB1" w14:textId="77777777" w:rsidR="00EB78D2" w:rsidRDefault="00000000">
            <w:r>
              <w:rPr>
                <w:color w:val="1A1A1A"/>
                <w:sz w:val="19"/>
                <w:szCs w:val="19"/>
              </w:rPr>
              <w:t>Contaminated donors; gradual treatment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B5055" w14:textId="77777777" w:rsidR="00EB78D2" w:rsidRDefault="00000000">
            <w:r>
              <w:rPr>
                <w:color w:val="1A1A1A"/>
                <w:sz w:val="19"/>
                <w:szCs w:val="19"/>
              </w:rPr>
              <w:t>Min p = 0.33 (3 donors)</w:t>
            </w:r>
          </w:p>
        </w:tc>
      </w:tr>
      <w:tr w:rsidR="00EB78D2" w14:paraId="15E436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7446" w14:textId="77777777" w:rsidR="00EB78D2" w:rsidRDefault="00000000">
            <w:r>
              <w:rPr>
                <w:color w:val="1A1A1A"/>
                <w:sz w:val="19"/>
                <w:szCs w:val="19"/>
              </w:rPr>
              <w:t>SC Min Demand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855E2" w14:textId="77777777" w:rsidR="00EB78D2" w:rsidRDefault="00000000">
            <w:r>
              <w:rPr>
                <w:color w:val="1A1A1A"/>
                <w:sz w:val="19"/>
                <w:szCs w:val="19"/>
              </w:rPr>
              <w:t>SC-3 gap: 34.8 pts, p=0.25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7845" w14:textId="77777777" w:rsidR="00EB78D2" w:rsidRDefault="00000000">
            <w:r>
              <w:rPr>
                <w:color w:val="1A1A1A"/>
                <w:sz w:val="19"/>
                <w:szCs w:val="19"/>
              </w:rPr>
              <w:t>Same; RMSPE is fit credential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DF9B" w14:textId="77777777" w:rsidR="00EB78D2" w:rsidRDefault="00000000">
            <w:r>
              <w:rPr>
                <w:color w:val="1A1A1A"/>
                <w:sz w:val="19"/>
                <w:szCs w:val="19"/>
              </w:rPr>
              <w:t>Min p = 0.33 (3 donors)</w:t>
            </w:r>
          </w:p>
        </w:tc>
      </w:tr>
      <w:tr w:rsidR="00EB78D2" w14:paraId="4B31FF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E7E6" w14:textId="77777777" w:rsidR="00EB78D2" w:rsidRDefault="00000000">
            <w:proofErr w:type="spellStart"/>
            <w:proofErr w:type="gramStart"/>
            <w:r>
              <w:rPr>
                <w:color w:val="1A1A1A"/>
                <w:sz w:val="19"/>
                <w:szCs w:val="19"/>
              </w:rPr>
              <w:t>DiD</w:t>
            </w:r>
            <w:proofErr w:type="spellEnd"/>
            <w:proofErr w:type="gramEnd"/>
            <w:r>
              <w:rPr>
                <w:color w:val="1A1A1A"/>
                <w:sz w:val="19"/>
                <w:szCs w:val="19"/>
              </w:rPr>
              <w:t xml:space="preserve"> Clean Controls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5592" w14:textId="77777777" w:rsidR="00EB78D2" w:rsidRDefault="00000000">
            <w:r>
              <w:rPr>
                <w:color w:val="1A1A1A"/>
                <w:sz w:val="19"/>
                <w:szCs w:val="19"/>
              </w:rPr>
              <w:t>9.8 pts, p=0.125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94FC" w14:textId="77777777" w:rsidR="00EB78D2" w:rsidRDefault="00000000">
            <w:r>
              <w:rPr>
                <w:color w:val="1A1A1A"/>
                <w:sz w:val="19"/>
                <w:szCs w:val="19"/>
              </w:rPr>
              <w:t>Parallel trends untestable; low-exposure not zero-exposure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644F" w14:textId="77777777" w:rsidR="00EB78D2" w:rsidRDefault="00000000">
            <w:r>
              <w:rPr>
                <w:color w:val="1A1A1A"/>
                <w:sz w:val="19"/>
                <w:szCs w:val="19"/>
              </w:rPr>
              <w:t>Min p = 0.125 (G=3)</w:t>
            </w:r>
          </w:p>
        </w:tc>
      </w:tr>
      <w:tr w:rsidR="00EB78D2" w14:paraId="2B7400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3C57" w14:textId="77777777" w:rsidR="00EB78D2" w:rsidRDefault="00000000">
            <w:r>
              <w:rPr>
                <w:color w:val="1A1A1A"/>
                <w:sz w:val="19"/>
                <w:szCs w:val="19"/>
              </w:rPr>
              <w:t>Bai-Perron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B270" w14:textId="77777777" w:rsidR="00EB78D2" w:rsidRDefault="00000000">
            <w:r>
              <w:rPr>
                <w:color w:val="1A1A1A"/>
                <w:sz w:val="19"/>
                <w:szCs w:val="19"/>
              </w:rPr>
              <w:t xml:space="preserve">Break at 2023m5, </w:t>
            </w:r>
            <w:proofErr w:type="spellStart"/>
            <w:r>
              <w:rPr>
                <w:color w:val="1A1A1A"/>
                <w:sz w:val="19"/>
                <w:szCs w:val="19"/>
              </w:rPr>
              <w:t>UDmax</w:t>
            </w:r>
            <w:proofErr w:type="spellEnd"/>
            <w:r>
              <w:rPr>
                <w:color w:val="1A1A1A"/>
                <w:sz w:val="19"/>
                <w:szCs w:val="19"/>
              </w:rPr>
              <w:t>=35.39</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74EA" w14:textId="77777777" w:rsidR="00EB78D2" w:rsidRDefault="00000000">
            <w:r>
              <w:rPr>
                <w:color w:val="1A1A1A"/>
                <w:sz w:val="19"/>
                <w:szCs w:val="19"/>
              </w:rPr>
              <w:t xml:space="preserve">Gradual treatment </w:t>
            </w:r>
            <w:proofErr w:type="gramStart"/>
            <w:r>
              <w:rPr>
                <w:color w:val="1A1A1A"/>
                <w:sz w:val="19"/>
                <w:szCs w:val="19"/>
              </w:rPr>
              <w:t>hard</w:t>
            </w:r>
            <w:proofErr w:type="gramEnd"/>
            <w:r>
              <w:rPr>
                <w:color w:val="1A1A1A"/>
                <w:sz w:val="19"/>
                <w:szCs w:val="19"/>
              </w:rPr>
              <w:t xml:space="preserve"> to pin down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0329" w14:textId="77777777" w:rsidR="00EB78D2" w:rsidRDefault="00000000">
            <w:r>
              <w:rPr>
                <w:color w:val="1A1A1A"/>
                <w:sz w:val="19"/>
                <w:szCs w:val="19"/>
              </w:rPr>
              <w:t>Not a regression inference question</w:t>
            </w:r>
          </w:p>
        </w:tc>
      </w:tr>
      <w:tr w:rsidR="00EB78D2" w14:paraId="615593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AE350" w14:textId="77777777" w:rsidR="00EB78D2" w:rsidRDefault="00000000">
            <w:proofErr w:type="spellStart"/>
            <w:r>
              <w:rPr>
                <w:color w:val="1A1A1A"/>
                <w:sz w:val="19"/>
                <w:szCs w:val="19"/>
              </w:rPr>
              <w:t>Winsorization</w:t>
            </w:r>
            <w:proofErr w:type="spellEnd"/>
            <w:r>
              <w:rPr>
                <w:color w:val="1A1A1A"/>
                <w:sz w:val="19"/>
                <w:szCs w:val="19"/>
              </w:rPr>
              <w:t xml:space="preserve"> (MISO)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F2E34" w14:textId="77777777" w:rsidR="00EB78D2" w:rsidRDefault="00000000">
            <w:r>
              <w:rPr>
                <w:color w:val="1A1A1A"/>
                <w:sz w:val="19"/>
                <w:szCs w:val="19"/>
              </w:rPr>
              <w:t>p95 cap = 18,588 MW</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F4B" w14:textId="77777777" w:rsidR="00EB78D2" w:rsidRDefault="00000000">
            <w:r>
              <w:rPr>
                <w:color w:val="1A1A1A"/>
                <w:sz w:val="19"/>
                <w:szCs w:val="19"/>
              </w:rPr>
              <w:t>Threshold is a judgment call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4A92" w14:textId="77777777" w:rsidR="00EB78D2" w:rsidRDefault="00000000">
            <w:r>
              <w:rPr>
                <w:color w:val="1A1A1A"/>
                <w:sz w:val="19"/>
                <w:szCs w:val="19"/>
              </w:rPr>
              <w:t>9 observations affected</w:t>
            </w:r>
          </w:p>
        </w:tc>
      </w:tr>
    </w:tbl>
    <w:p w14:paraId="2B0045F7" w14:textId="77777777" w:rsidR="00EB78D2" w:rsidRDefault="00EB78D2">
      <w:pPr>
        <w:spacing w:before="200"/>
      </w:pPr>
    </w:p>
    <w:p w14:paraId="4488E487" w14:textId="77777777" w:rsidR="00EB78D2" w:rsidRDefault="00EB78D2">
      <w:pPr>
        <w:pBdr>
          <w:bottom w:val="single" w:sz="4" w:space="1" w:color="CCCCCC"/>
        </w:pBdr>
        <w:spacing w:before="200" w:after="200"/>
      </w:pPr>
    </w:p>
    <w:p w14:paraId="52B3FA0A" w14:textId="77777777" w:rsidR="00EB78D2" w:rsidRDefault="00000000">
      <w:pPr>
        <w:spacing w:before="100"/>
      </w:pPr>
      <w:r>
        <w:rPr>
          <w:i/>
          <w:iCs/>
          <w:color w:val="595959"/>
          <w:sz w:val="18"/>
          <w:szCs w:val="18"/>
        </w:rPr>
        <w:t>Personal study document — Alan Lamb — March 2026 — Not for distribution — lambcast.net</w:t>
      </w:r>
    </w:p>
    <w:sectPr w:rsidR="00EB78D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E7F95"/>
    <w:multiLevelType w:val="hybridMultilevel"/>
    <w:tmpl w:val="819A5C64"/>
    <w:lvl w:ilvl="0" w:tplc="BDCE0F54">
      <w:start w:val="1"/>
      <w:numFmt w:val="bullet"/>
      <w:lvlText w:val="●"/>
      <w:lvlJc w:val="left"/>
      <w:pPr>
        <w:ind w:left="720" w:hanging="360"/>
      </w:pPr>
    </w:lvl>
    <w:lvl w:ilvl="1" w:tplc="90E8B318">
      <w:start w:val="1"/>
      <w:numFmt w:val="bullet"/>
      <w:lvlText w:val="○"/>
      <w:lvlJc w:val="left"/>
      <w:pPr>
        <w:ind w:left="1440" w:hanging="360"/>
      </w:pPr>
    </w:lvl>
    <w:lvl w:ilvl="2" w:tplc="1AF20276">
      <w:start w:val="1"/>
      <w:numFmt w:val="bullet"/>
      <w:lvlText w:val="■"/>
      <w:lvlJc w:val="left"/>
      <w:pPr>
        <w:ind w:left="2160" w:hanging="360"/>
      </w:pPr>
    </w:lvl>
    <w:lvl w:ilvl="3" w:tplc="E2300CDE">
      <w:start w:val="1"/>
      <w:numFmt w:val="bullet"/>
      <w:lvlText w:val="●"/>
      <w:lvlJc w:val="left"/>
      <w:pPr>
        <w:ind w:left="2880" w:hanging="360"/>
      </w:pPr>
    </w:lvl>
    <w:lvl w:ilvl="4" w:tplc="E17A9C92">
      <w:start w:val="1"/>
      <w:numFmt w:val="bullet"/>
      <w:lvlText w:val="○"/>
      <w:lvlJc w:val="left"/>
      <w:pPr>
        <w:ind w:left="3600" w:hanging="360"/>
      </w:pPr>
    </w:lvl>
    <w:lvl w:ilvl="5" w:tplc="1A467448">
      <w:start w:val="1"/>
      <w:numFmt w:val="bullet"/>
      <w:lvlText w:val="■"/>
      <w:lvlJc w:val="left"/>
      <w:pPr>
        <w:ind w:left="4320" w:hanging="360"/>
      </w:pPr>
    </w:lvl>
    <w:lvl w:ilvl="6" w:tplc="62D28594">
      <w:start w:val="1"/>
      <w:numFmt w:val="bullet"/>
      <w:lvlText w:val="●"/>
      <w:lvlJc w:val="left"/>
      <w:pPr>
        <w:ind w:left="5040" w:hanging="360"/>
      </w:pPr>
    </w:lvl>
    <w:lvl w:ilvl="7" w:tplc="122469C8">
      <w:start w:val="1"/>
      <w:numFmt w:val="bullet"/>
      <w:lvlText w:val="●"/>
      <w:lvlJc w:val="left"/>
      <w:pPr>
        <w:ind w:left="5760" w:hanging="360"/>
      </w:pPr>
    </w:lvl>
    <w:lvl w:ilvl="8" w:tplc="99AE3A5E">
      <w:start w:val="1"/>
      <w:numFmt w:val="bullet"/>
      <w:lvlText w:val="●"/>
      <w:lvlJc w:val="left"/>
      <w:pPr>
        <w:ind w:left="6480" w:hanging="360"/>
      </w:pPr>
    </w:lvl>
  </w:abstractNum>
  <w:abstractNum w:abstractNumId="1" w15:restartNumberingAfterBreak="0">
    <w:nsid w:val="7C435EEB"/>
    <w:multiLevelType w:val="hybridMultilevel"/>
    <w:tmpl w:val="69A0923E"/>
    <w:lvl w:ilvl="0" w:tplc="CC08E45C">
      <w:start w:val="1"/>
      <w:numFmt w:val="bullet"/>
      <w:lvlText w:val="•"/>
      <w:lvlJc w:val="left"/>
      <w:pPr>
        <w:ind w:left="560" w:hanging="280"/>
      </w:pPr>
    </w:lvl>
    <w:lvl w:ilvl="1" w:tplc="54CA3D66">
      <w:start w:val="1"/>
      <w:numFmt w:val="bullet"/>
      <w:lvlText w:val="◦"/>
      <w:lvlJc w:val="left"/>
      <w:pPr>
        <w:ind w:left="1000" w:hanging="280"/>
      </w:pPr>
    </w:lvl>
    <w:lvl w:ilvl="2" w:tplc="ED568268">
      <w:numFmt w:val="decimal"/>
      <w:lvlText w:val=""/>
      <w:lvlJc w:val="left"/>
    </w:lvl>
    <w:lvl w:ilvl="3" w:tplc="65A4B110">
      <w:numFmt w:val="decimal"/>
      <w:lvlText w:val=""/>
      <w:lvlJc w:val="left"/>
    </w:lvl>
    <w:lvl w:ilvl="4" w:tplc="64CC4638">
      <w:numFmt w:val="decimal"/>
      <w:lvlText w:val=""/>
      <w:lvlJc w:val="left"/>
    </w:lvl>
    <w:lvl w:ilvl="5" w:tplc="59C448CA">
      <w:numFmt w:val="decimal"/>
      <w:lvlText w:val=""/>
      <w:lvlJc w:val="left"/>
    </w:lvl>
    <w:lvl w:ilvl="6" w:tplc="E4D8F4F6">
      <w:numFmt w:val="decimal"/>
      <w:lvlText w:val=""/>
      <w:lvlJc w:val="left"/>
    </w:lvl>
    <w:lvl w:ilvl="7" w:tplc="3FDA13AA">
      <w:numFmt w:val="decimal"/>
      <w:lvlText w:val=""/>
      <w:lvlJc w:val="left"/>
    </w:lvl>
    <w:lvl w:ilvl="8" w:tplc="C6FE8C1A">
      <w:numFmt w:val="decimal"/>
      <w:lvlText w:val=""/>
      <w:lvlJc w:val="left"/>
    </w:lvl>
  </w:abstractNum>
  <w:num w:numId="1" w16cid:durableId="1414862568">
    <w:abstractNumId w:val="0"/>
    <w:lvlOverride w:ilvl="0">
      <w:startOverride w:val="1"/>
    </w:lvlOverride>
  </w:num>
  <w:num w:numId="2" w16cid:durableId="628514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D2"/>
    <w:rsid w:val="00161DE5"/>
    <w:rsid w:val="003E45C0"/>
    <w:rsid w:val="00B76AF0"/>
    <w:rsid w:val="00BB0DD2"/>
    <w:rsid w:val="00E028FF"/>
    <w:rsid w:val="00EB7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04B5"/>
  <w15:docId w15:val="{BD6834C2-BBD7-4A28-BBC3-008F9BD7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0"/>
      <w:szCs w:val="30"/>
    </w:rPr>
  </w:style>
  <w:style w:type="paragraph" w:styleId="Heading2">
    <w:name w:val="heading 2"/>
    <w:uiPriority w:val="9"/>
    <w:unhideWhenUsed/>
    <w:qFormat/>
    <w:pPr>
      <w:spacing w:before="280" w:after="100"/>
      <w:outlineLvl w:val="1"/>
    </w:pPr>
    <w:rPr>
      <w:b/>
      <w:bCs/>
      <w:color w:val="2E75B6"/>
      <w:sz w:val="25"/>
      <w:szCs w:val="25"/>
    </w:rPr>
  </w:style>
  <w:style w:type="paragraph" w:styleId="Heading3">
    <w:name w:val="heading 3"/>
    <w:uiPriority w:val="9"/>
    <w:semiHidden/>
    <w:unhideWhenUsed/>
    <w:qFormat/>
    <w:pPr>
      <w:spacing w:before="20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3210</Words>
  <Characters>16843</Characters>
  <Application>Microsoft Office Word</Application>
  <DocSecurity>0</DocSecurity>
  <Lines>334</Lines>
  <Paragraphs>161</Paragraphs>
  <ScaleCrop>false</ScaleCrop>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Lamb</cp:lastModifiedBy>
  <cp:revision>4</cp:revision>
  <dcterms:created xsi:type="dcterms:W3CDTF">2026-03-18T22:13:00Z</dcterms:created>
  <dcterms:modified xsi:type="dcterms:W3CDTF">2026-03-18T22:15:00Z</dcterms:modified>
</cp:coreProperties>
</file>