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BC545" w14:textId="77777777" w:rsidR="00800B17" w:rsidRDefault="003172A4">
      <w:pPr>
        <w:spacing w:after="80"/>
      </w:pPr>
      <w:r>
        <w:rPr>
          <w:b/>
          <w:bCs/>
          <w:color w:val="1F4E79"/>
          <w:sz w:val="36"/>
          <w:szCs w:val="36"/>
        </w:rPr>
        <w:t>What This Paper Does and Does Not Do</w:t>
      </w:r>
    </w:p>
    <w:p w14:paraId="3F4BCF51" w14:textId="77777777" w:rsidR="00800B17" w:rsidRDefault="003172A4">
      <w:pPr>
        <w:spacing w:after="40"/>
      </w:pPr>
      <w:r>
        <w:rPr>
          <w:i/>
          <w:iCs/>
          <w:color w:val="595959"/>
        </w:rPr>
        <w:t xml:space="preserve">Alan Lamb — </w:t>
      </w:r>
      <w:proofErr w:type="spellStart"/>
      <w:r>
        <w:rPr>
          <w:i/>
          <w:iCs/>
          <w:color w:val="595959"/>
        </w:rPr>
        <w:t>Lambcast</w:t>
      </w:r>
      <w:proofErr w:type="spellEnd"/>
      <w:r>
        <w:rPr>
          <w:i/>
          <w:iCs/>
          <w:color w:val="595959"/>
        </w:rPr>
        <w:t xml:space="preserve"> Applied Economics — March 2026</w:t>
      </w:r>
    </w:p>
    <w:p w14:paraId="5A5D3BF4" w14:textId="77777777" w:rsidR="00800B17" w:rsidRDefault="003172A4">
      <w:pPr>
        <w:spacing w:after="40"/>
      </w:pPr>
      <w:r>
        <w:rPr>
          <w:color w:val="595959"/>
          <w:sz w:val="20"/>
          <w:szCs w:val="20"/>
        </w:rPr>
        <w:t>M.S. Applied Economics, University of Maryland</w:t>
      </w:r>
    </w:p>
    <w:p w14:paraId="45D1DE33" w14:textId="77777777" w:rsidR="00800B17" w:rsidRDefault="00800B17">
      <w:pPr>
        <w:pBdr>
          <w:bottom w:val="single" w:sz="4" w:space="1" w:color="CCCCCC"/>
        </w:pBdr>
        <w:spacing w:before="160" w:after="160"/>
      </w:pPr>
    </w:p>
    <w:p w14:paraId="1F462D36" w14:textId="77777777" w:rsidR="00800B17" w:rsidRDefault="003172A4">
      <w:pPr>
        <w:pStyle w:val="Heading1"/>
      </w:pPr>
      <w:r>
        <w:t>The Core Question</w:t>
      </w:r>
    </w:p>
    <w:p w14:paraId="62412C8F" w14:textId="77777777" w:rsidR="00800B17" w:rsidRDefault="003172A4">
      <w:pPr>
        <w:spacing w:before="80" w:after="80"/>
      </w:pPr>
      <w:r>
        <w:rPr>
          <w:color w:val="1A1A1A"/>
        </w:rPr>
        <w:t>ERCOT — the Texas electricity grid — grew by roughly 27 percent between 2019 and 2025. PJM and MISO, the two largest electricity markets in the country, barely moved. This paper asks: how much of that ERCOT growth was driven by data center investment?</w:t>
      </w:r>
    </w:p>
    <w:p w14:paraId="79574FC6" w14:textId="77777777" w:rsidR="00800B17" w:rsidRDefault="003172A4">
      <w:pPr>
        <w:spacing w:before="80" w:after="80"/>
      </w:pPr>
      <w:r>
        <w:rPr>
          <w:color w:val="1A1A1A"/>
        </w:rPr>
        <w:t xml:space="preserve">The honest answer </w:t>
      </w:r>
      <w:proofErr w:type="gramStart"/>
      <w:r>
        <w:rPr>
          <w:color w:val="1A1A1A"/>
        </w:rPr>
        <w:t>is:</w:t>
      </w:r>
      <w:proofErr w:type="gramEnd"/>
      <w:r>
        <w:rPr>
          <w:color w:val="1A1A1A"/>
        </w:rPr>
        <w:t xml:space="preserve"> we can’t know precisely, because the data that would let us know precisely doesn’t exist publicly. What the paper does is build the best possible estimated range with what is available, document why exact identification isn’t possible, and argue that documenting that gap is itself a contribution worth making.</w:t>
      </w:r>
    </w:p>
    <w:p w14:paraId="259C595D" w14:textId="77777777" w:rsidR="00800B17" w:rsidRDefault="003172A4">
      <w:pPr>
        <w:pStyle w:val="Heading1"/>
      </w:pPr>
      <w:r>
        <w:t>The Treatment Variable (and Why It’s a Proxy)</w:t>
      </w:r>
    </w:p>
    <w:p w14:paraId="7A1D1721" w14:textId="77777777" w:rsidR="00800B17" w:rsidRDefault="003172A4">
      <w:pPr>
        <w:spacing w:before="80" w:after="80"/>
      </w:pPr>
      <w:r>
        <w:rPr>
          <w:color w:val="1A1A1A"/>
        </w:rPr>
        <w:t>Ideally you would measure data center investment directly — how much power each facility draws, when it came online, where it is. That data doesn’t exist in any public record for ERCOT, PJM, or MISO. What does exist, publicly and in legally binding form, is the generation interconnection queue: filings made by power plants and battery storage projects requesting connection to the grid.</w:t>
      </w:r>
    </w:p>
    <w:p w14:paraId="490D3EBB" w14:textId="77777777" w:rsidR="00800B17" w:rsidRDefault="003172A4">
      <w:pPr>
        <w:spacing w:before="80" w:after="80"/>
      </w:pPr>
      <w:r>
        <w:rPr>
          <w:color w:val="1A1A1A"/>
        </w:rPr>
        <w:t>The paper uses these generation-side filings as a proxy. The logic is straightforward: when a data center decides to build in ERCOT, it needs generation to serve it. The surge in ERCOT queue filings after 2021 — reaching 97 GW in 2024 alone — reflects, in large part, the generation being built or planned to serve incoming data center load. It’s an imperfect measure. We say so explicitly. But it’s the best available leading indicator.</w:t>
      </w:r>
    </w:p>
    <w:p w14:paraId="1C2C5B96" w14:textId="77777777" w:rsidR="00800B17" w:rsidRDefault="003172A4">
      <w:pPr>
        <w:pStyle w:val="Heading1"/>
      </w:pPr>
      <w:r>
        <w:t>The Four Identification Layers</w:t>
      </w:r>
    </w:p>
    <w:p w14:paraId="6CC24030" w14:textId="77777777" w:rsidR="00800B17" w:rsidRDefault="003172A4">
      <w:pPr>
        <w:spacing w:before="80" w:after="80"/>
      </w:pPr>
      <w:r>
        <w:rPr>
          <w:color w:val="1A1A1A"/>
        </w:rPr>
        <w:t xml:space="preserve">Rather than rely on one method that could fail in a single way, the paper uses four methods that each make different assumptions and fail differently. If they all </w:t>
      </w:r>
      <w:proofErr w:type="gramStart"/>
      <w:r>
        <w:rPr>
          <w:color w:val="1A1A1A"/>
        </w:rPr>
        <w:t>point</w:t>
      </w:r>
      <w:proofErr w:type="gramEnd"/>
      <w:r>
        <w:rPr>
          <w:color w:val="1A1A1A"/>
        </w:rPr>
        <w:t xml:space="preserve"> the same direction, that convergence is the evidence.</w:t>
      </w:r>
    </w:p>
    <w:p w14:paraId="73256234" w14:textId="77777777" w:rsidR="00800B17" w:rsidRDefault="00800B17">
      <w:pPr>
        <w:spacing w:before="80"/>
      </w:pPr>
    </w:p>
    <w:p w14:paraId="7C354CF6" w14:textId="77777777" w:rsidR="00800B17" w:rsidRDefault="003172A4">
      <w:pPr>
        <w:pStyle w:val="Heading2"/>
      </w:pPr>
      <w:r>
        <w:t>Layer 1 — Panel Regression (β = 0.029, p = 0.063)</w:t>
      </w:r>
    </w:p>
    <w:p w14:paraId="23D6851C" w14:textId="77777777" w:rsidR="00800B17" w:rsidRDefault="003172A4">
      <w:pPr>
        <w:spacing w:before="80" w:after="80"/>
      </w:pPr>
      <w:r>
        <w:rPr>
          <w:color w:val="1A1A1A"/>
        </w:rPr>
        <w:t>This is the workhorse of the paper. It asks: within each balancing authority, do months with more queue filings 18 months earlier tend to have higher electricity demand today, after controlling for weather, GDP, and common time shocks?</w:t>
      </w:r>
    </w:p>
    <w:p w14:paraId="77BD53DE" w14:textId="77777777" w:rsidR="00800B17" w:rsidRDefault="003172A4">
      <w:pPr>
        <w:spacing w:before="80" w:after="80"/>
      </w:pPr>
      <w:r>
        <w:rPr>
          <w:color w:val="1A1A1A"/>
        </w:rPr>
        <w:t>The answer is yes — a 1,000 MW increase in large-project filings is associated with a 29 MWh increase in average hourly demand 18 months later. But with only 3 balancing authorities, conventional significance thresholds (p &lt; 0.05) are mathematically unachievable. The paper says this plainly. The evidence is the coefficient being stable across 10 different robustness specifications, not a single p-value.</w:t>
      </w:r>
    </w:p>
    <w:p w14:paraId="35475D8A" w14:textId="77777777" w:rsidR="00800B17" w:rsidRDefault="003172A4">
      <w:pPr>
        <w:pStyle w:val="Heading2"/>
      </w:pPr>
      <w:r>
        <w:t>Layer 2 — Synthetic Control, Average Demand (SC-3 gap: 24.5 index points)</w:t>
      </w:r>
    </w:p>
    <w:p w14:paraId="0DDC5492" w14:textId="77777777" w:rsidR="00800B17" w:rsidRDefault="003172A4">
      <w:pPr>
        <w:spacing w:before="80" w:after="80"/>
      </w:pPr>
      <w:r>
        <w:rPr>
          <w:color w:val="1A1A1A"/>
        </w:rPr>
        <w:t>This method builds a fake Texas — a weighted blend of other balancing authorities that looked like ERCOT before the data center surge. After May 2023 (the statistically identified structural break), real ERCOT demand diverges from synthetic ERCOT by 24.5 index points in the cleanest specification.</w:t>
      </w:r>
    </w:p>
    <w:p w14:paraId="58A52BEC" w14:textId="77777777" w:rsidR="00800B17" w:rsidRDefault="003172A4">
      <w:pPr>
        <w:spacing w:before="80" w:after="80"/>
      </w:pPr>
      <w:r>
        <w:rPr>
          <w:color w:val="1A1A1A"/>
        </w:rPr>
        <w:lastRenderedPageBreak/>
        <w:t xml:space="preserve">The key caveat: the comparison regions (PJM, MISO) also received data center investment. Using contaminated donors makes the estimated gap too small. We call this the contaminated lower </w:t>
      </w:r>
      <w:proofErr w:type="gramStart"/>
      <w:r>
        <w:rPr>
          <w:color w:val="1A1A1A"/>
        </w:rPr>
        <w:t>bound</w:t>
      </w:r>
      <w:proofErr w:type="gramEnd"/>
      <w:r>
        <w:rPr>
          <w:color w:val="1A1A1A"/>
        </w:rPr>
        <w:t xml:space="preserve"> and build the whole paper around it.</w:t>
      </w:r>
    </w:p>
    <w:p w14:paraId="5392D021" w14:textId="77777777" w:rsidR="00800B17" w:rsidRDefault="003172A4">
      <w:pPr>
        <w:pStyle w:val="Heading2"/>
      </w:pPr>
      <w:r>
        <w:t>Layer 2b — Synthetic Control, Minimum Demand (SC-3 gap: 34.8 index points) — Headline</w:t>
      </w:r>
    </w:p>
    <w:p w14:paraId="42476232" w14:textId="77777777" w:rsidR="00800B17" w:rsidRDefault="003172A4">
      <w:pPr>
        <w:spacing w:before="80" w:after="80"/>
      </w:pPr>
      <w:r>
        <w:rPr>
          <w:color w:val="1A1A1A"/>
        </w:rPr>
        <w:t>Minimum demand is the lowest hourly reading in a given month — typically 3am on a mild spring night, when residential and commercial load is near zero. What remains is the stuff that never turns off. Data centers are exactly that kind of load.</w:t>
      </w:r>
    </w:p>
    <w:p w14:paraId="478EFAB2" w14:textId="77777777" w:rsidR="00800B17" w:rsidRDefault="003172A4">
      <w:pPr>
        <w:spacing w:before="80" w:after="80"/>
      </w:pPr>
      <w:r>
        <w:rPr>
          <w:color w:val="1A1A1A"/>
        </w:rPr>
        <w:t>The minimum demand gap is 34.8 index points — 10 points larger than the average demand gap. That difference is the central finding: once weather-driven variation is stripped away, the always-on data center signature is larger and cleaner. Zero of three placebos exceed ERCOT’s gap.</w:t>
      </w:r>
    </w:p>
    <w:p w14:paraId="53345308" w14:textId="77777777" w:rsidR="00800B17" w:rsidRDefault="003172A4">
      <w:pPr>
        <w:pStyle w:val="Heading2"/>
      </w:pPr>
      <w:r>
        <w:t xml:space="preserve">Layer 3 — </w:t>
      </w:r>
      <w:proofErr w:type="spellStart"/>
      <w:r>
        <w:t>DiD</w:t>
      </w:r>
      <w:proofErr w:type="spellEnd"/>
      <w:r>
        <w:t xml:space="preserve"> with Low-Exposure Controls (9.8 index points, p = 0.125)</w:t>
      </w:r>
    </w:p>
    <w:p w14:paraId="196247FB" w14:textId="77777777" w:rsidR="00800B17" w:rsidRDefault="003172A4">
      <w:pPr>
        <w:spacing w:before="80" w:after="80"/>
      </w:pPr>
      <w:r>
        <w:rPr>
          <w:color w:val="1A1A1A"/>
        </w:rPr>
        <w:t>Instead of using PJM and MISO as the comparison group, this layer uses balancing authorities that genuinely haven’t received significant data center investment: ISONE (New England), NYISO (New York), and SPP (Great Plains). Using cleaner controls removes the contamination bias.</w:t>
      </w:r>
    </w:p>
    <w:p w14:paraId="6A701523" w14:textId="77777777" w:rsidR="00800B17" w:rsidRDefault="003172A4">
      <w:pPr>
        <w:spacing w:before="80" w:after="80"/>
      </w:pPr>
      <w:r>
        <w:rPr>
          <w:color w:val="1A1A1A"/>
        </w:rPr>
        <w:t xml:space="preserve">The estimate sits above the contaminated synthetic control — which is exactly what the theory predicts. The ordering of estimates confirms the story: contaminated donors suppress the SC </w:t>
      </w:r>
      <w:proofErr w:type="gramStart"/>
      <w:r>
        <w:rPr>
          <w:color w:val="1A1A1A"/>
        </w:rPr>
        <w:t>estimate,</w:t>
      </w:r>
      <w:proofErr w:type="gramEnd"/>
      <w:r>
        <w:rPr>
          <w:color w:val="1A1A1A"/>
        </w:rPr>
        <w:t xml:space="preserve"> clean controls push it higher.</w:t>
      </w:r>
    </w:p>
    <w:p w14:paraId="68E7DF51" w14:textId="77777777" w:rsidR="00800B17" w:rsidRDefault="003172A4">
      <w:pPr>
        <w:pStyle w:val="Heading2"/>
      </w:pPr>
      <w:r>
        <w:t>Layer 4 — Narrative Validation (Overlaid on Gap Plot)</w:t>
      </w:r>
    </w:p>
    <w:p w14:paraId="226F0D14" w14:textId="77777777" w:rsidR="00800B17" w:rsidRDefault="003172A4">
      <w:pPr>
        <w:spacing w:before="80" w:after="80"/>
      </w:pPr>
      <w:r>
        <w:rPr>
          <w:color w:val="1A1A1A"/>
        </w:rPr>
        <w:t>Known ERCOT data center energization dates — Google Midlothian, Microsoft San Antonio, Meta Fort Worth, QTS Irving, Switch San Antonio — are overlaid as vertical markers on the minimum demand gap plot. The gap accelerates around these dates. This isn’t identification, but it connects the statistical finding to documented real-world events.</w:t>
      </w:r>
    </w:p>
    <w:p w14:paraId="19558C43" w14:textId="77777777" w:rsidR="00800B17" w:rsidRDefault="003172A4">
      <w:pPr>
        <w:pStyle w:val="Heading1"/>
      </w:pPr>
      <w:r>
        <w:t>The Honest Limitations</w:t>
      </w:r>
    </w:p>
    <w:p w14:paraId="01F2B192" w14:textId="77777777" w:rsidR="00800B17" w:rsidRDefault="003172A4">
      <w:pPr>
        <w:pStyle w:val="ListParagraph"/>
        <w:numPr>
          <w:ilvl w:val="0"/>
          <w:numId w:val="2"/>
        </w:numPr>
        <w:spacing w:before="60" w:after="60"/>
      </w:pPr>
      <w:r>
        <w:rPr>
          <w:color w:val="1A1A1A"/>
        </w:rPr>
        <w:t>The treatment variable is a proxy. Generation-side queue filings measure generation investment, not data center load directly. This is acknowledged throughout.</w:t>
      </w:r>
    </w:p>
    <w:p w14:paraId="5692EF9A" w14:textId="77777777" w:rsidR="00800B17" w:rsidRDefault="003172A4">
      <w:pPr>
        <w:pStyle w:val="ListParagraph"/>
        <w:numPr>
          <w:ilvl w:val="0"/>
          <w:numId w:val="2"/>
        </w:numPr>
        <w:spacing w:before="60" w:after="60"/>
      </w:pPr>
      <w:r>
        <w:rPr>
          <w:color w:val="1A1A1A"/>
        </w:rPr>
        <w:t>We have three clusters. Wild cluster bootstrap inference with G = 3 has a mathematical floor on p-values of 0.125 under full enumeration. We can’t achieve p &lt; 0.05, period. We report this explicitly instead of hiding it.</w:t>
      </w:r>
    </w:p>
    <w:p w14:paraId="5DFEBE50" w14:textId="77777777" w:rsidR="00800B17" w:rsidRDefault="003172A4">
      <w:pPr>
        <w:pStyle w:val="ListParagraph"/>
        <w:numPr>
          <w:ilvl w:val="0"/>
          <w:numId w:val="2"/>
        </w:numPr>
        <w:spacing w:before="60" w:after="60"/>
      </w:pPr>
      <w:r>
        <w:rPr>
          <w:color w:val="1A1A1A"/>
        </w:rPr>
        <w:t>The donor pool is contaminated. PJM and MISO received real data center investment. The synthetic control gap is explicitly a lower bound, not a point estimate.</w:t>
      </w:r>
    </w:p>
    <w:p w14:paraId="10D7EBF7" w14:textId="77777777" w:rsidR="00800B17" w:rsidRDefault="003172A4">
      <w:pPr>
        <w:pStyle w:val="ListParagraph"/>
        <w:numPr>
          <w:ilvl w:val="0"/>
          <w:numId w:val="2"/>
        </w:numPr>
        <w:spacing w:before="60" w:after="60"/>
      </w:pPr>
      <w:r>
        <w:rPr>
          <w:color w:val="1A1A1A"/>
        </w:rPr>
        <w:t xml:space="preserve">The treatment is gradual. Data centers don’t all flip on at once. The Bai-Perron break </w:t>
      </w:r>
      <w:proofErr w:type="gramStart"/>
      <w:r>
        <w:rPr>
          <w:color w:val="1A1A1A"/>
        </w:rPr>
        <w:t>at</w:t>
      </w:r>
      <w:proofErr w:type="gramEnd"/>
      <w:r>
        <w:rPr>
          <w:color w:val="1A1A1A"/>
        </w:rPr>
        <w:t xml:space="preserve"> May 2023 is the statistically identified inflection point, but the investment unfolded over years.</w:t>
      </w:r>
    </w:p>
    <w:p w14:paraId="46842198" w14:textId="77777777" w:rsidR="00800B17" w:rsidRDefault="003172A4">
      <w:pPr>
        <w:pStyle w:val="ListParagraph"/>
        <w:numPr>
          <w:ilvl w:val="0"/>
          <w:numId w:val="2"/>
        </w:numPr>
        <w:spacing w:before="60" w:after="60"/>
      </w:pPr>
      <w:r>
        <w:rPr>
          <w:color w:val="1A1A1A"/>
        </w:rPr>
        <w:t>Causation is not established. The paper never claims to prove causation. The required language throughout is ‘associated with,’ not ‘caused by.’</w:t>
      </w:r>
    </w:p>
    <w:p w14:paraId="5609AD44" w14:textId="77777777" w:rsidR="00800B17" w:rsidRDefault="003172A4">
      <w:pPr>
        <w:pStyle w:val="Heading1"/>
      </w:pPr>
      <w:r>
        <w:t>The CAISO Falsification Check</w:t>
      </w:r>
    </w:p>
    <w:p w14:paraId="4C48FCDE" w14:textId="77777777" w:rsidR="00800B17" w:rsidRDefault="003172A4">
      <w:pPr>
        <w:spacing w:before="80" w:after="80"/>
      </w:pPr>
      <w:r>
        <w:rPr>
          <w:color w:val="1A1A1A"/>
        </w:rPr>
        <w:t>California is the natural institutional comparison: a heavily regulated market with aggressive energy efficiency standards, where data center investment was also significant during the sample period. If the ERCOT result were a methodological artifact, it should show up in CAISO too.</w:t>
      </w:r>
    </w:p>
    <w:p w14:paraId="2719B175" w14:textId="77777777" w:rsidR="00800B17" w:rsidRDefault="003172A4">
      <w:pPr>
        <w:spacing w:before="80" w:after="80"/>
      </w:pPr>
      <w:r>
        <w:rPr>
          <w:color w:val="1A1A1A"/>
        </w:rPr>
        <w:t xml:space="preserve">It doesn’t. The Bai-Perron structural break test on CAISO demand produces a </w:t>
      </w:r>
      <w:proofErr w:type="spellStart"/>
      <w:r>
        <w:rPr>
          <w:color w:val="1A1A1A"/>
        </w:rPr>
        <w:t>UDmax</w:t>
      </w:r>
      <w:proofErr w:type="spellEnd"/>
      <w:r>
        <w:rPr>
          <w:color w:val="1A1A1A"/>
        </w:rPr>
        <w:t xml:space="preserve"> statistic of 4.00 — well below the threshold required to reject the null of no structural break. The synthetic control produces a gap near zero. This null result is the falsification check working: the method </w:t>
      </w:r>
      <w:r>
        <w:rPr>
          <w:color w:val="1A1A1A"/>
        </w:rPr>
        <w:lastRenderedPageBreak/>
        <w:t>detects a large, credible gap where the institutional story predicts one (ERCOT) and finds nothing where the story is less clear (CAISO). That contrast strengthens the ERCOT finding.</w:t>
      </w:r>
    </w:p>
    <w:p w14:paraId="1FB9A30F" w14:textId="77777777" w:rsidR="00800B17" w:rsidRDefault="003172A4">
      <w:pPr>
        <w:pStyle w:val="Heading1"/>
      </w:pPr>
      <w:r>
        <w:t>The Data Gap as Policy Finding</w:t>
      </w:r>
    </w:p>
    <w:p w14:paraId="2FB129DA" w14:textId="77777777" w:rsidR="00800B17" w:rsidRDefault="003172A4">
      <w:pPr>
        <w:spacing w:before="80" w:after="80"/>
      </w:pPr>
      <w:r>
        <w:rPr>
          <w:color w:val="1A1A1A"/>
        </w:rPr>
        <w:t>Every major U.S. electricity market maintains an internal queue of large load interconnection requests. Unlike the generation queue — which is public, searchable, and downloadable — the load-side queue is not public in any of the three markets studied. PJM, ERCOT, and MISO maintain it. None of them release it.</w:t>
      </w:r>
    </w:p>
    <w:p w14:paraId="3A9F5AE6" w14:textId="77777777" w:rsidR="00800B17" w:rsidRDefault="003172A4">
      <w:pPr>
        <w:spacing w:before="80" w:after="80"/>
      </w:pPr>
      <w:r>
        <w:rPr>
          <w:color w:val="1A1A1A"/>
        </w:rPr>
        <w:t>This matters beyond the paper. The three markets studied cover roughly 61 percent of U.S. electricity load. The fastest infrastructure buildout in American history is happening inside their footprints. Grid planners, researchers, and the public cannot directly observe the pipeline. That’s a regulatory failure, and this paper documents it explicitly and argues FERC should require disclosure on the same terms as the generation queue. Georgia Power and Texas SB-6 already show it’s doable.</w:t>
      </w:r>
    </w:p>
    <w:p w14:paraId="0E6F0712" w14:textId="77777777" w:rsidR="00800B17" w:rsidRDefault="003172A4">
      <w:pPr>
        <w:pStyle w:val="Heading1"/>
      </w:pPr>
      <w:r>
        <w:t>What Comes Next</w:t>
      </w:r>
    </w:p>
    <w:p w14:paraId="546EE506" w14:textId="77777777" w:rsidR="00800B17" w:rsidRDefault="003172A4">
      <w:pPr>
        <w:pStyle w:val="ListParagraph"/>
        <w:numPr>
          <w:ilvl w:val="0"/>
          <w:numId w:val="2"/>
        </w:numPr>
        <w:spacing w:before="60" w:after="60"/>
      </w:pPr>
      <w:r>
        <w:rPr>
          <w:color w:val="1A1A1A"/>
        </w:rPr>
        <w:t xml:space="preserve">Forecasting pipeline: ARIMA baseline, Prophet with queue as external regressor, </w:t>
      </w:r>
      <w:proofErr w:type="spellStart"/>
      <w:r>
        <w:rPr>
          <w:color w:val="1A1A1A"/>
        </w:rPr>
        <w:t>XGBoost</w:t>
      </w:r>
      <w:proofErr w:type="spellEnd"/>
      <w:r>
        <w:rPr>
          <w:color w:val="1A1A1A"/>
        </w:rPr>
        <w:t xml:space="preserve"> with full feature set. The improvement from ARIMA to </w:t>
      </w:r>
      <w:proofErr w:type="spellStart"/>
      <w:r>
        <w:rPr>
          <w:color w:val="1A1A1A"/>
        </w:rPr>
        <w:t>XGBoost</w:t>
      </w:r>
      <w:proofErr w:type="spellEnd"/>
      <w:r>
        <w:rPr>
          <w:color w:val="1A1A1A"/>
        </w:rPr>
        <w:t xml:space="preserve"> is a quantitative argument for data disclosure — it measures exactly how much the queue data is worth for grid planning.</w:t>
      </w:r>
    </w:p>
    <w:p w14:paraId="3D550CD1" w14:textId="77777777" w:rsidR="00800B17" w:rsidRDefault="003172A4">
      <w:pPr>
        <w:pStyle w:val="ListParagraph"/>
        <w:numPr>
          <w:ilvl w:val="0"/>
          <w:numId w:val="2"/>
        </w:numPr>
        <w:spacing w:before="60" w:after="60"/>
      </w:pPr>
      <w:r>
        <w:rPr>
          <w:color w:val="1A1A1A"/>
        </w:rPr>
        <w:t>SSRN submission: Working paper format, citable URL, submitted after forecasting section is complete.</w:t>
      </w:r>
    </w:p>
    <w:p w14:paraId="02D98E83" w14:textId="77777777" w:rsidR="00800B17" w:rsidRDefault="003172A4">
      <w:pPr>
        <w:pStyle w:val="ListParagraph"/>
        <w:numPr>
          <w:ilvl w:val="0"/>
          <w:numId w:val="2"/>
        </w:numPr>
        <w:spacing w:before="60" w:after="60"/>
      </w:pPr>
      <w:r>
        <w:rPr>
          <w:color w:val="1A1A1A"/>
        </w:rPr>
        <w:t>Hex dashboard: Interactive regional forecast visualization by balancing authority.</w:t>
      </w:r>
    </w:p>
    <w:p w14:paraId="6F3CF03C" w14:textId="77777777" w:rsidR="00800B17" w:rsidRDefault="003172A4">
      <w:pPr>
        <w:pStyle w:val="ListParagraph"/>
        <w:numPr>
          <w:ilvl w:val="0"/>
          <w:numId w:val="2"/>
        </w:numPr>
        <w:spacing w:before="60" w:after="60"/>
      </w:pPr>
      <w:r>
        <w:rPr>
          <w:color w:val="1A1A1A"/>
        </w:rPr>
        <w:t>Outreach: Email Chenyu Yang (UMD, co-author of the queue dataset) when paper is complete. Send to Amazon and Anthropic contacts.</w:t>
      </w:r>
    </w:p>
    <w:p w14:paraId="0FD913EE" w14:textId="77777777" w:rsidR="00800B17" w:rsidRDefault="00800B17">
      <w:pPr>
        <w:spacing w:before="80"/>
      </w:pPr>
    </w:p>
    <w:p w14:paraId="15DE4BAF" w14:textId="77777777" w:rsidR="00800B17" w:rsidRDefault="00800B17">
      <w:pPr>
        <w:pBdr>
          <w:bottom w:val="single" w:sz="4" w:space="1" w:color="CCCCCC"/>
        </w:pBdr>
        <w:spacing w:before="160" w:after="160"/>
      </w:pPr>
    </w:p>
    <w:p w14:paraId="0C0A3139" w14:textId="77777777" w:rsidR="00800B17" w:rsidRDefault="003172A4">
      <w:pPr>
        <w:spacing w:before="100"/>
      </w:pPr>
      <w:r>
        <w:rPr>
          <w:i/>
          <w:iCs/>
          <w:color w:val="595959"/>
          <w:sz w:val="18"/>
          <w:szCs w:val="18"/>
        </w:rPr>
        <w:t>lambcast.net — github.com/Lambcast/ai-infrastructure-regional-electricity-demand</w:t>
      </w:r>
    </w:p>
    <w:sectPr w:rsidR="00800B1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1FB3"/>
    <w:multiLevelType w:val="hybridMultilevel"/>
    <w:tmpl w:val="9A5AE134"/>
    <w:lvl w:ilvl="0" w:tplc="2AE620EC">
      <w:start w:val="1"/>
      <w:numFmt w:val="bullet"/>
      <w:lvlText w:val="•"/>
      <w:lvlJc w:val="left"/>
      <w:pPr>
        <w:ind w:left="560" w:hanging="280"/>
      </w:pPr>
    </w:lvl>
    <w:lvl w:ilvl="1" w:tplc="3DD211D4">
      <w:numFmt w:val="decimal"/>
      <w:lvlText w:val=""/>
      <w:lvlJc w:val="left"/>
    </w:lvl>
    <w:lvl w:ilvl="2" w:tplc="563EDBCA">
      <w:numFmt w:val="decimal"/>
      <w:lvlText w:val=""/>
      <w:lvlJc w:val="left"/>
    </w:lvl>
    <w:lvl w:ilvl="3" w:tplc="81CE2E66">
      <w:numFmt w:val="decimal"/>
      <w:lvlText w:val=""/>
      <w:lvlJc w:val="left"/>
    </w:lvl>
    <w:lvl w:ilvl="4" w:tplc="6ED457BC">
      <w:numFmt w:val="decimal"/>
      <w:lvlText w:val=""/>
      <w:lvlJc w:val="left"/>
    </w:lvl>
    <w:lvl w:ilvl="5" w:tplc="543C019E">
      <w:numFmt w:val="decimal"/>
      <w:lvlText w:val=""/>
      <w:lvlJc w:val="left"/>
    </w:lvl>
    <w:lvl w:ilvl="6" w:tplc="5E8A2C64">
      <w:numFmt w:val="decimal"/>
      <w:lvlText w:val=""/>
      <w:lvlJc w:val="left"/>
    </w:lvl>
    <w:lvl w:ilvl="7" w:tplc="7C7C0534">
      <w:numFmt w:val="decimal"/>
      <w:lvlText w:val=""/>
      <w:lvlJc w:val="left"/>
    </w:lvl>
    <w:lvl w:ilvl="8" w:tplc="12D2832A">
      <w:numFmt w:val="decimal"/>
      <w:lvlText w:val=""/>
      <w:lvlJc w:val="left"/>
    </w:lvl>
  </w:abstractNum>
  <w:abstractNum w:abstractNumId="1" w15:restartNumberingAfterBreak="0">
    <w:nsid w:val="6E7B45E0"/>
    <w:multiLevelType w:val="hybridMultilevel"/>
    <w:tmpl w:val="EA44B8AE"/>
    <w:lvl w:ilvl="0" w:tplc="661CA56C">
      <w:start w:val="1"/>
      <w:numFmt w:val="bullet"/>
      <w:lvlText w:val="●"/>
      <w:lvlJc w:val="left"/>
      <w:pPr>
        <w:ind w:left="720" w:hanging="360"/>
      </w:pPr>
    </w:lvl>
    <w:lvl w:ilvl="1" w:tplc="C49AE792">
      <w:start w:val="1"/>
      <w:numFmt w:val="bullet"/>
      <w:lvlText w:val="○"/>
      <w:lvlJc w:val="left"/>
      <w:pPr>
        <w:ind w:left="1440" w:hanging="360"/>
      </w:pPr>
    </w:lvl>
    <w:lvl w:ilvl="2" w:tplc="65305162">
      <w:start w:val="1"/>
      <w:numFmt w:val="bullet"/>
      <w:lvlText w:val="■"/>
      <w:lvlJc w:val="left"/>
      <w:pPr>
        <w:ind w:left="2160" w:hanging="360"/>
      </w:pPr>
    </w:lvl>
    <w:lvl w:ilvl="3" w:tplc="85C6891A">
      <w:start w:val="1"/>
      <w:numFmt w:val="bullet"/>
      <w:lvlText w:val="●"/>
      <w:lvlJc w:val="left"/>
      <w:pPr>
        <w:ind w:left="2880" w:hanging="360"/>
      </w:pPr>
    </w:lvl>
    <w:lvl w:ilvl="4" w:tplc="5156AF66">
      <w:start w:val="1"/>
      <w:numFmt w:val="bullet"/>
      <w:lvlText w:val="○"/>
      <w:lvlJc w:val="left"/>
      <w:pPr>
        <w:ind w:left="3600" w:hanging="360"/>
      </w:pPr>
    </w:lvl>
    <w:lvl w:ilvl="5" w:tplc="54E40BC4">
      <w:start w:val="1"/>
      <w:numFmt w:val="bullet"/>
      <w:lvlText w:val="■"/>
      <w:lvlJc w:val="left"/>
      <w:pPr>
        <w:ind w:left="4320" w:hanging="360"/>
      </w:pPr>
    </w:lvl>
    <w:lvl w:ilvl="6" w:tplc="B3ECF91A">
      <w:start w:val="1"/>
      <w:numFmt w:val="bullet"/>
      <w:lvlText w:val="●"/>
      <w:lvlJc w:val="left"/>
      <w:pPr>
        <w:ind w:left="5040" w:hanging="360"/>
      </w:pPr>
    </w:lvl>
    <w:lvl w:ilvl="7" w:tplc="F186505C">
      <w:start w:val="1"/>
      <w:numFmt w:val="bullet"/>
      <w:lvlText w:val="●"/>
      <w:lvlJc w:val="left"/>
      <w:pPr>
        <w:ind w:left="5760" w:hanging="360"/>
      </w:pPr>
    </w:lvl>
    <w:lvl w:ilvl="8" w:tplc="48C2AF02">
      <w:start w:val="1"/>
      <w:numFmt w:val="bullet"/>
      <w:lvlText w:val="●"/>
      <w:lvlJc w:val="left"/>
      <w:pPr>
        <w:ind w:left="6480" w:hanging="360"/>
      </w:pPr>
    </w:lvl>
  </w:abstractNum>
  <w:num w:numId="1" w16cid:durableId="1269703198">
    <w:abstractNumId w:val="1"/>
    <w:lvlOverride w:ilvl="0">
      <w:startOverride w:val="1"/>
    </w:lvlOverride>
  </w:num>
  <w:num w:numId="2" w16cid:durableId="81613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B17"/>
    <w:rsid w:val="002B5141"/>
    <w:rsid w:val="003172A4"/>
    <w:rsid w:val="003E45C0"/>
    <w:rsid w:val="00800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4C84"/>
  <w15:docId w15:val="{BD6834C2-BBD7-4A28-BBC3-008F9BD7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E79"/>
      <w:sz w:val="28"/>
      <w:szCs w:val="28"/>
    </w:rPr>
  </w:style>
  <w:style w:type="paragraph" w:styleId="Heading2">
    <w:name w:val="heading 2"/>
    <w:uiPriority w:val="9"/>
    <w:unhideWhenUsed/>
    <w:qFormat/>
    <w:pPr>
      <w:spacing w:before="240" w:after="8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1153</Words>
  <Characters>6797</Characters>
  <Application>Microsoft Office Word</Application>
  <DocSecurity>0</DocSecurity>
  <Lines>130</Lines>
  <Paragraphs>76</Paragraphs>
  <ScaleCrop>false</ScaleCrop>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Lamb</cp:lastModifiedBy>
  <cp:revision>2</cp:revision>
  <dcterms:created xsi:type="dcterms:W3CDTF">2026-03-18T22:12:00Z</dcterms:created>
  <dcterms:modified xsi:type="dcterms:W3CDTF">2026-03-18T22:12:00Z</dcterms:modified>
</cp:coreProperties>
</file>