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4B73" w14:textId="77777777" w:rsidR="006B3F35" w:rsidRDefault="00000000">
      <w:pPr>
        <w:spacing w:after="80"/>
      </w:pPr>
      <w:r>
        <w:rPr>
          <w:rFonts w:ascii="Times New Roman" w:hAnsi="Times New Roman"/>
          <w:b/>
        </w:rPr>
        <w:t>Table 2. Robustness Checks — Panel Regression</w:t>
      </w:r>
    </w:p>
    <w:p w14:paraId="6AC12DBA" w14:textId="77777777" w:rsidR="006B3F35" w:rsidRDefault="00000000">
      <w:pPr>
        <w:spacing w:after="120"/>
      </w:pPr>
      <w:r>
        <w:rPr>
          <w:rFonts w:ascii="Times New Roman" w:hAnsi="Times New Roman"/>
          <w:i/>
          <w:sz w:val="18"/>
        </w:rPr>
        <w:t>Dependent variable: average hourly demand (MWh). All specifications include BA and month-year fixed effects, HDD, CDD controls (except S7), and wild cluster bootstrap inference (Webb weights, 999 reps.).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0"/>
        <w:gridCol w:w="1342"/>
        <w:gridCol w:w="1543"/>
        <w:gridCol w:w="1610"/>
        <w:gridCol w:w="1391"/>
      </w:tblGrid>
      <w:tr w:rsidR="006B3F35" w14:paraId="04791B84" w14:textId="77777777">
        <w:tc>
          <w:tcPr>
            <w:tcW w:w="374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10042632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Specification</w:t>
            </w:r>
          </w:p>
        </w:tc>
        <w:tc>
          <w:tcPr>
            <w:tcW w:w="57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0A39F5AE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6C92B973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Coefficient</w:t>
            </w:r>
          </w:p>
        </w:tc>
        <w:tc>
          <w:tcPr>
            <w:tcW w:w="194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53E1552E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95% CI</w:t>
            </w:r>
          </w:p>
        </w:tc>
        <w:tc>
          <w:tcPr>
            <w:tcW w:w="79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068DAED7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i/>
                <w:sz w:val="20"/>
              </w:rPr>
              <w:t>p</w:t>
            </w:r>
            <w:r>
              <w:rPr>
                <w:rFonts w:ascii="Times New Roman" w:hAnsi="Times New Roman"/>
                <w:b/>
                <w:sz w:val="20"/>
              </w:rPr>
              <w:t>-value</w:t>
            </w:r>
          </w:p>
        </w:tc>
      </w:tr>
      <w:tr w:rsidR="006B3F35" w14:paraId="599E6AB8" w14:textId="77777777">
        <w:tc>
          <w:tcPr>
            <w:tcW w:w="86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214D47" w14:textId="77777777" w:rsidR="006B3F35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20"/>
              </w:rPr>
              <w:t>Panel A: Lag Sensitivity</w:t>
            </w:r>
          </w:p>
        </w:tc>
      </w:tr>
      <w:tr w:rsidR="006B3F35" w14:paraId="74F6E581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70EB16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S1: 18-month lag (primary)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F78774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144C86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0.029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C89349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[−0.125, 0.132]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C732DC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0.063</w:t>
            </w:r>
          </w:p>
        </w:tc>
      </w:tr>
      <w:tr w:rsidR="006B3F35" w14:paraId="2D1E869C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CF7FEC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sz w:val="20"/>
              </w:rPr>
              <w:t>S2: 12-month lag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6B6211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216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9DFE24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0.047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2B8E5C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[−0.583, 0.667]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012CC0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0.128</w:t>
            </w:r>
          </w:p>
        </w:tc>
      </w:tr>
      <w:tr w:rsidR="006B3F35" w14:paraId="7CFBBEE4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1EE5BE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sz w:val="20"/>
              </w:rPr>
              <w:t>S3: 24-month lag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60600C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180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5184C6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0.064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5F86A7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[−0.495, 0.542]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BDB600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0.221</w:t>
            </w:r>
          </w:p>
        </w:tc>
      </w:tr>
      <w:tr w:rsidR="006B3F35" w14:paraId="58272597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D72710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sz w:val="20"/>
              </w:rPr>
              <w:t>S4: 30-month lag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0282EE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162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65B071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−0.100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2E9992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[−0.414, 0.292]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C64A8F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0.100</w:t>
            </w:r>
          </w:p>
        </w:tc>
      </w:tr>
      <w:tr w:rsidR="006B3F35" w14:paraId="76BD5498" w14:textId="77777777">
        <w:tc>
          <w:tcPr>
            <w:tcW w:w="86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DA034B" w14:textId="77777777" w:rsidR="006B3F35" w:rsidRDefault="00000000">
            <w:pPr>
              <w:spacing w:before="100" w:after="20"/>
            </w:pPr>
            <w:r>
              <w:rPr>
                <w:rFonts w:ascii="Times New Roman" w:hAnsi="Times New Roman"/>
                <w:b/>
                <w:sz w:val="20"/>
              </w:rPr>
              <w:t>Panel B: MW Threshold Sensitivity</w:t>
            </w:r>
          </w:p>
        </w:tc>
      </w:tr>
      <w:tr w:rsidR="006B3F35" w14:paraId="61DD520F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635144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sz w:val="20"/>
              </w:rPr>
              <w:t>S5: ≥50 MW threshold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3175E4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84A404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0.025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94EE6A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[−0.062, 0.078]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8B44DC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0.064</w:t>
            </w:r>
          </w:p>
        </w:tc>
      </w:tr>
      <w:tr w:rsidR="006B3F35" w14:paraId="19F59A26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A1F4C0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S1: ≥100 MW threshold (primary)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37216D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0A0480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0.029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5B924B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[−0.125, 0.132]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082162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0.063</w:t>
            </w:r>
          </w:p>
        </w:tc>
      </w:tr>
      <w:tr w:rsidR="006B3F35" w14:paraId="20748820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276CDB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sz w:val="20"/>
              </w:rPr>
              <w:t>S6: ≥200 MW threshold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881195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175D12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0.001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5A2A26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[−0.417, 0.390]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0FA689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0.905</w:t>
            </w:r>
          </w:p>
        </w:tc>
      </w:tr>
      <w:tr w:rsidR="006B3F35" w14:paraId="05889DFC" w14:textId="77777777">
        <w:tc>
          <w:tcPr>
            <w:tcW w:w="86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96E980" w14:textId="77777777" w:rsidR="006B3F35" w:rsidRDefault="00000000">
            <w:pPr>
              <w:spacing w:before="100" w:after="20"/>
            </w:pPr>
            <w:r>
              <w:rPr>
                <w:rFonts w:ascii="Times New Roman" w:hAnsi="Times New Roman"/>
                <w:b/>
                <w:sz w:val="20"/>
              </w:rPr>
              <w:t>Panel C: Control Specification</w:t>
            </w:r>
          </w:p>
        </w:tc>
      </w:tr>
      <w:tr w:rsidR="006B3F35" w14:paraId="1597C615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216ECA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S1: Baseline — HDD, CDD, GDP (primary)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A41599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DD5CBC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0.029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3B5D15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[−0.125, 0.132]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6EBEBA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0.063</w:t>
            </w:r>
          </w:p>
        </w:tc>
      </w:tr>
      <w:tr w:rsidR="006B3F35" w14:paraId="018677A8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96C54E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sz w:val="20"/>
              </w:rPr>
              <w:t>S7: No GDP control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1C2B97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C0E2D9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CB7201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[−0.206, 0.250]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E15BAB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0.099</w:t>
            </w:r>
          </w:p>
        </w:tc>
      </w:tr>
      <w:tr w:rsidR="006B3F35" w14:paraId="32B830A9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A914EA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sz w:val="20"/>
              </w:rPr>
              <w:t>S8: BA-specific linear trends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942747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B3C511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−0.059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9BFF7C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[−1.670, 1.917]†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A4F782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0.783</w:t>
            </w:r>
          </w:p>
        </w:tc>
      </w:tr>
      <w:tr w:rsidR="006B3F35" w14:paraId="46BE72E8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2F95BD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sz w:val="20"/>
              </w:rPr>
              <w:t>S9: BA-specific quadratic trends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906567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8EEFEB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−0.039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96D980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[−1.250, 1.725]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22AFC8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0.840</w:t>
            </w:r>
          </w:p>
        </w:tc>
      </w:tr>
      <w:tr w:rsidR="006B3F35" w14:paraId="423E0B04" w14:textId="77777777">
        <w:tc>
          <w:tcPr>
            <w:tcW w:w="864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4B13AA" w14:textId="77777777" w:rsidR="006B3F35" w:rsidRDefault="00000000">
            <w:pPr>
              <w:spacing w:before="100" w:after="20"/>
            </w:pPr>
            <w:r>
              <w:rPr>
                <w:rFonts w:ascii="Times New Roman" w:hAnsi="Times New Roman"/>
                <w:b/>
                <w:sz w:val="20"/>
              </w:rPr>
              <w:t>Panel D: Queue Variable</w:t>
            </w:r>
          </w:p>
        </w:tc>
      </w:tr>
      <w:tr w:rsidR="006B3F35" w14:paraId="32CDD900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398360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b/>
                <w:sz w:val="20"/>
              </w:rPr>
              <w:t>S1: Large projects only, ≥100 MW (primary)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71DB6E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FBF7D6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0.029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5F7D5F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[−0.125, 0.132]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597AED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0.063</w:t>
            </w:r>
          </w:p>
        </w:tc>
      </w:tr>
      <w:tr w:rsidR="006B3F35" w14:paraId="295DCE3C" w14:textId="77777777"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1E0A9511" w14:textId="77777777" w:rsidR="006B3F35" w:rsidRDefault="00000000">
            <w:pPr>
              <w:spacing w:before="30" w:after="30"/>
            </w:pPr>
            <w:r>
              <w:rPr>
                <w:rFonts w:ascii="Times New Roman" w:hAnsi="Times New Roman"/>
                <w:sz w:val="20"/>
              </w:rPr>
              <w:t>S10: All projects, no threshold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17056C45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4617444B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0.022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05A3D80D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[−0.054, 0.149]</w:t>
            </w:r>
          </w:p>
        </w:tc>
        <w:tc>
          <w:tcPr>
            <w:tcW w:w="17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</w:tcPr>
          <w:p w14:paraId="79A4264A" w14:textId="77777777" w:rsidR="006B3F35" w:rsidRDefault="00000000">
            <w:pPr>
              <w:spacing w:before="30" w:after="30"/>
              <w:jc w:val="right"/>
            </w:pPr>
            <w:r>
              <w:rPr>
                <w:rFonts w:ascii="Times New Roman" w:hAnsi="Times New Roman"/>
                <w:sz w:val="20"/>
              </w:rPr>
              <w:t>0.098</w:t>
            </w:r>
          </w:p>
        </w:tc>
      </w:tr>
    </w:tbl>
    <w:p w14:paraId="0EBD9643" w14:textId="77777777" w:rsidR="006B3F35" w:rsidRDefault="00000000">
      <w:pPr>
        <w:spacing w:before="120"/>
      </w:pPr>
      <w:r>
        <w:rPr>
          <w:rFonts w:ascii="Times New Roman" w:hAnsi="Times New Roman"/>
          <w:i/>
          <w:sz w:val="18"/>
        </w:rPr>
        <w:t>Notes: All regressions estimated via reghdfe with BA and month-year fixed effects. BA fixed effects absorbed by including i.ba_num explicitly as regressors to maintain boottest compatibility (see text). Queue regressor winsorized at 95th percentile (18,588 MW) in all specifications; two MISO observations at 154,214 MW and 102,870 MW reflect a documented 2022 queue reform batch-filing artifact lagged 18 months forward. Primary specification (bold) is S1: 18-month lag, ≥100 MW threshold, full controls. Coefficients interpreted as MWh change in monthly average hourly demand per additional MW of qualifying queue filings 18 months prior. Panel A: coefficient rises from 12 to 24 months then turns negative at 30 months, consistent with the construction timeline distribution for hyperscale facilities. Panel B: 50 MW and 100 MW thresholds produce nearly identical results; 200 MW threshold collapses due to insufficient within-BA variation. Panel C: attenuation under BA-specific trends (S8, S9) is expected—these trends absorb secular ERCOT growth that may itself be data-center-driven. †S8 confidence set is disconnected [−1.670, −1.542] ∪ [−1.417, 1.917]; outer bounds reported. Panel D: all-projects coefficient (S10) slightly below large-only (S1), indicating the demand signal is concentrated in but not exclusive to ≥100 MW projects.</w:t>
      </w:r>
    </w:p>
    <w:sectPr w:rsidR="006B3F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366475">
    <w:abstractNumId w:val="8"/>
  </w:num>
  <w:num w:numId="2" w16cid:durableId="942300453">
    <w:abstractNumId w:val="6"/>
  </w:num>
  <w:num w:numId="3" w16cid:durableId="703865940">
    <w:abstractNumId w:val="5"/>
  </w:num>
  <w:num w:numId="4" w16cid:durableId="1834639393">
    <w:abstractNumId w:val="4"/>
  </w:num>
  <w:num w:numId="5" w16cid:durableId="944774558">
    <w:abstractNumId w:val="7"/>
  </w:num>
  <w:num w:numId="6" w16cid:durableId="1423575461">
    <w:abstractNumId w:val="3"/>
  </w:num>
  <w:num w:numId="7" w16cid:durableId="976304945">
    <w:abstractNumId w:val="2"/>
  </w:num>
  <w:num w:numId="8" w16cid:durableId="1857229997">
    <w:abstractNumId w:val="1"/>
  </w:num>
  <w:num w:numId="9" w16cid:durableId="12670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5C0"/>
    <w:rsid w:val="006B3F35"/>
    <w:rsid w:val="00AA1D8D"/>
    <w:rsid w:val="00B47730"/>
    <w:rsid w:val="00CB0664"/>
    <w:rsid w:val="00EE4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D6834C2-BBD7-4A28-BBC3-008F9BD7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2164</Characters>
  <Application>Microsoft Office Word</Application>
  <DocSecurity>0</DocSecurity>
  <Lines>94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Lamb</cp:lastModifiedBy>
  <cp:revision>2</cp:revision>
  <dcterms:created xsi:type="dcterms:W3CDTF">2013-12-23T23:15:00Z</dcterms:created>
  <dcterms:modified xsi:type="dcterms:W3CDTF">2026-03-18T20:20:00Z</dcterms:modified>
  <cp:category/>
</cp:coreProperties>
</file>