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1DD8" w14:textId="77777777" w:rsidR="00D64507" w:rsidRDefault="00000000">
      <w:pPr>
        <w:spacing w:after="80"/>
      </w:pPr>
      <w:r>
        <w:rPr>
          <w:rFonts w:ascii="Times New Roman" w:hAnsi="Times New Roman"/>
          <w:b/>
        </w:rPr>
        <w:t>Table 3. Synthesis of Identification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2743"/>
        <w:gridCol w:w="1530"/>
        <w:gridCol w:w="1393"/>
        <w:gridCol w:w="1660"/>
      </w:tblGrid>
      <w:tr w:rsidR="00D64507" w14:paraId="23DC90DF" w14:textId="77777777">
        <w:tc>
          <w:tcPr>
            <w:tcW w:w="158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3421DF0E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  <w:tc>
          <w:tcPr>
            <w:tcW w:w="316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1276F208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Specification</w:t>
            </w:r>
          </w:p>
        </w:tc>
        <w:tc>
          <w:tcPr>
            <w:tcW w:w="136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782FDD7E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Estimate</w:t>
            </w:r>
          </w:p>
        </w:tc>
        <w:tc>
          <w:tcPr>
            <w:tcW w:w="79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5F511AA4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i/>
                <w:sz w:val="20"/>
              </w:rPr>
              <w:t>p</w:t>
            </w:r>
            <w:r>
              <w:rPr>
                <w:rFonts w:ascii="Times New Roman" w:hAnsi="Times New Roman"/>
                <w:b/>
                <w:sz w:val="20"/>
              </w:rPr>
              <w:t>-value</w:t>
            </w:r>
          </w:p>
        </w:tc>
        <w:tc>
          <w:tcPr>
            <w:tcW w:w="17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4577E6C3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 w:rsidR="00D64507" w14:paraId="1F37B8B9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AE802B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Panel Regression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77E490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Primary — 18-mo. lag, ≥100 MW; avg. hourly demand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883437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sz w:val="20"/>
              </w:rPr>
              <w:t>0.029 MWh/MW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47FBE4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sz w:val="20"/>
              </w:rPr>
              <w:t>0.063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9758D5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Min. achievable p = 0.125; stable across all 10 specs</w:t>
            </w:r>
          </w:p>
        </w:tc>
      </w:tr>
      <w:tr w:rsidR="00D64507" w14:paraId="173CF999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B666C7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Synthetic Control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91A467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SC-1 — PJM + MISO donors; avg. demand index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5CE187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sz w:val="20"/>
              </w:rPr>
              <w:t>23.0 index pts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44D746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sz w:val="20"/>
              </w:rPr>
              <w:t>0.33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039377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Contaminated donors; lower bound; RMSPE = 11.09</w:t>
            </w:r>
          </w:p>
        </w:tc>
      </w:tr>
      <w:tr w:rsidR="00D64507" w14:paraId="2F459550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40335B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Synthetic Control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FEFC8E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SC-3 — ISNE/NYIS/SWPP donors; avg. demand index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2BACE7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sz w:val="20"/>
              </w:rPr>
              <w:t>24.5 index pts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94E12D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8F4B38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Clean donors; gap &gt; SC-1 confirms contamination story</w:t>
            </w:r>
          </w:p>
        </w:tc>
      </w:tr>
      <w:tr w:rsidR="00D64507" w14:paraId="0CD72393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7DDC1B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Synthetic Control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71BA92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SC-3 — ISNE/NYIS/SWPP donors; min. demand index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0F46D0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34.8 index pts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1C4FE3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0.25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318564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Headline; baseload floor signature; 0 of 3 placebos exceed ERCOT</w:t>
            </w:r>
          </w:p>
        </w:tc>
      </w:tr>
      <w:tr w:rsidR="00D64507" w14:paraId="461BC42E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347C7480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DiD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258E31E3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Low-exposure controls: ISNE, NYIS, SWPP; avg. demand index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5B1C8DB5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sz w:val="20"/>
              </w:rPr>
              <w:t>9.8 index pts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71753417" w14:textId="77777777" w:rsidR="00D64507" w:rsidRDefault="00000000">
            <w:pPr>
              <w:spacing w:before="40" w:after="40"/>
              <w:jc w:val="right"/>
            </w:pPr>
            <w:r>
              <w:rPr>
                <w:rFonts w:ascii="Times New Roman" w:hAnsi="Times New Roman"/>
                <w:sz w:val="20"/>
              </w:rPr>
              <w:t>0.125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385C404E" w14:textId="77777777" w:rsidR="00D64507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Min. achievable p = 0.125; sits above SC-1</w:t>
            </w:r>
          </w:p>
        </w:tc>
      </w:tr>
    </w:tbl>
    <w:p w14:paraId="3241FC5E" w14:textId="77777777" w:rsidR="00D64507" w:rsidRDefault="00000000">
      <w:pPr>
        <w:spacing w:before="120"/>
      </w:pPr>
      <w:r>
        <w:rPr>
          <w:rFonts w:ascii="Times New Roman" w:hAnsi="Times New Roman"/>
          <w:i/>
          <w:sz w:val="18"/>
        </w:rPr>
        <w:t>Notes: Demand index normalized to 2019 average = 100. Treatment date for synthetic control and DiD is the Bai-Perron structural break date of May 2023 (UDmax = 35.39), identified before examining gap estimates. Panel regression uses wild cluster bootstrap (Webb weights, 999 reps., Stata boottest). Minimum achievable p-value: 0.125 with 3 clusters (panel regression, DiD); 0.33 with 3 donor units (synthetic control). SC-1 donor pool (PJM, MISO) is contaminated by data center investment — reported as an explicit lower bound. SC-3 restricts donors to ISNE, NYIS, and SWPP (low-exposure by LBNL queue filings). Ordering SC-1 &lt; SC-3 &lt; DiD confirms contaminated donors suppress the SC-1 estimate. Headline result (bold row): SC-3 minimum demand specification isolates the always-on baseload floor by removing weather-driven load variation.</w:t>
      </w:r>
    </w:p>
    <w:sectPr w:rsidR="00D645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376329">
    <w:abstractNumId w:val="8"/>
  </w:num>
  <w:num w:numId="2" w16cid:durableId="655382169">
    <w:abstractNumId w:val="6"/>
  </w:num>
  <w:num w:numId="3" w16cid:durableId="168102926">
    <w:abstractNumId w:val="5"/>
  </w:num>
  <w:num w:numId="4" w16cid:durableId="1770196276">
    <w:abstractNumId w:val="4"/>
  </w:num>
  <w:num w:numId="5" w16cid:durableId="1546869885">
    <w:abstractNumId w:val="7"/>
  </w:num>
  <w:num w:numId="6" w16cid:durableId="2057973144">
    <w:abstractNumId w:val="3"/>
  </w:num>
  <w:num w:numId="7" w16cid:durableId="1315724351">
    <w:abstractNumId w:val="2"/>
  </w:num>
  <w:num w:numId="8" w16cid:durableId="305546548">
    <w:abstractNumId w:val="1"/>
  </w:num>
  <w:num w:numId="9" w16cid:durableId="867453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7EA"/>
    <w:rsid w:val="007B21E9"/>
    <w:rsid w:val="00AA1D8D"/>
    <w:rsid w:val="00B47730"/>
    <w:rsid w:val="00CB0664"/>
    <w:rsid w:val="00D64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F41074B-8E53-43E5-B7D7-5DE2F17E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1397</Characters>
  <Application>Microsoft Office Word</Application>
  <DocSecurity>0</DocSecurity>
  <Lines>66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Lamb</cp:lastModifiedBy>
  <cp:revision>2</cp:revision>
  <dcterms:created xsi:type="dcterms:W3CDTF">2013-12-23T23:15:00Z</dcterms:created>
  <dcterms:modified xsi:type="dcterms:W3CDTF">2026-03-18T17:12:00Z</dcterms:modified>
  <cp:category/>
</cp:coreProperties>
</file>