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80"/>
      </w:pPr>
      <w:r>
        <w:rPr>
          <w:rFonts w:ascii="Arial" w:cs="Arial" w:eastAsia="Arial" w:hAnsi="Arial"/>
          <w:b/>
          <w:bCs/>
          <w:color w:val="2E4057"/>
          <w:sz w:val="40"/>
          <w:szCs w:val="40"/>
        </w:rPr>
        <w:t xml:space="preserve">AI Infrastructure &amp; Regional Electricity Demand</w:t>
      </w:r>
    </w:p>
    <w:p>
      <w:pPr>
        <w:spacing w:before="0" w:after="80"/>
      </w:pPr>
      <w:r>
        <w:rPr>
          <w:rFonts w:ascii="Arial" w:cs="Arial" w:eastAsia="Arial" w:hAnsi="Arial"/>
          <w:i/>
          <w:iCs/>
          <w:color w:val="555555"/>
          <w:sz w:val="28"/>
          <w:szCs w:val="28"/>
        </w:rPr>
        <w:t xml:space="preserve">Phase 2 Theoretical Workflow — Econometric Methodology</w:t>
      </w:r>
    </w:p>
    <w:p>
      <w:pPr>
        <w:spacing w:before="0" w:after="240"/>
      </w:pPr>
      <w:r>
        <w:rPr>
          <w:rFonts w:ascii="Arial" w:cs="Arial" w:eastAsia="Arial" w:hAnsi="Arial"/>
          <w:color w:val="777777"/>
          <w:sz w:val="18"/>
          <w:szCs w:val="18"/>
        </w:rPr>
        <w:t xml:space="preserve">Alan Lamb | Lambcast Applied Economics | M.S. Applied Economics, University of Maryland | March 2026</w:t>
      </w:r>
    </w:p>
    <w:p>
      <w:pPr>
        <w:pBdr>
          <w:bottom w:val="single" w:color="CCCCCC" w:sz="4" w:space="1"/>
        </w:pBdr>
        <w:spacing w:before="120" w:after="120"/>
      </w:pPr>
    </w:p>
    <w:p>
      <w:pPr>
        <w:pStyle w:val="Heading1"/>
        <w:spacing w:before="320" w:after="160"/>
      </w:pPr>
      <w:r>
        <w:rPr>
          <w:rFonts w:ascii="Arial" w:cs="Arial" w:eastAsia="Arial" w:hAnsi="Arial"/>
          <w:b/>
          <w:bCs/>
          <w:color w:val="2E4057"/>
          <w:sz w:val="32"/>
          <w:szCs w:val="32"/>
        </w:rPr>
        <w:t xml:space="preserve">Coverage Confirmation</w:t>
      </w:r>
    </w:p>
    <w:p>
      <w:pPr>
        <w:spacing w:before="80" w:after="80"/>
      </w:pPr>
      <w:r>
        <w:rPr>
          <w:rFonts w:ascii="Arial" w:cs="Arial" w:eastAsia="Arial" w:hAnsi="Arial"/>
          <w:sz w:val="20"/>
          <w:szCs w:val="20"/>
        </w:rPr>
        <w:t xml:space="preserve">This document captures all methodology decisions made in the Economics Chat prior to Stata implementation. The following workstreams are fully covered:</w:t>
      </w:r>
    </w:p>
    <w:p>
      <w:pPr>
        <w:spacing w:before="80" w:after="40"/>
      </w:pPr>
    </w:p>
    <w:p>
      <w:pPr>
        <w:pStyle w:val="ListParagraph"/>
        <w:numPr>
          <w:ilvl w:val="0"/>
          <w:numId w:val="2"/>
        </w:numPr>
        <w:spacing w:before="40" w:after="40"/>
      </w:pPr>
      <w:r>
        <w:rPr>
          <w:rFonts w:ascii="Arial" w:cs="Arial" w:eastAsia="Arial" w:hAnsi="Arial"/>
          <w:sz w:val="20"/>
          <w:szCs w:val="20"/>
        </w:rPr>
        <w:t xml:space="preserve">Histogram analysis to determine MW threshold for large projects</w:t>
      </w:r>
    </w:p>
    <w:p>
      <w:pPr>
        <w:pStyle w:val="ListParagraph"/>
        <w:numPr>
          <w:ilvl w:val="0"/>
          <w:numId w:val="2"/>
        </w:numPr>
        <w:spacing w:before="40" w:after="40"/>
      </w:pPr>
      <w:r>
        <w:rPr>
          <w:rFonts w:ascii="Arial" w:cs="Arial" w:eastAsia="Arial" w:hAnsi="Arial"/>
          <w:sz w:val="20"/>
          <w:szCs w:val="20"/>
        </w:rPr>
        <w:t xml:space="preserve">Panel regression specification with wild cluster bootstrap inference</w:t>
      </w:r>
    </w:p>
    <w:p>
      <w:pPr>
        <w:pStyle w:val="ListParagraph"/>
        <w:numPr>
          <w:ilvl w:val="0"/>
          <w:numId w:val="2"/>
        </w:numPr>
        <w:spacing w:before="40" w:after="40"/>
      </w:pPr>
      <w:r>
        <w:rPr>
          <w:rFonts w:ascii="Arial" w:cs="Arial" w:eastAsia="Arial" w:hAnsi="Arial"/>
          <w:sz w:val="20"/>
          <w:szCs w:val="20"/>
        </w:rPr>
        <w:t xml:space="preserve">Synthetic control with Bai-Perron treatment date identification</w:t>
      </w:r>
    </w:p>
    <w:p>
      <w:pPr>
        <w:pStyle w:val="ListParagraph"/>
        <w:numPr>
          <w:ilvl w:val="0"/>
          <w:numId w:val="2"/>
        </w:numPr>
        <w:spacing w:before="40" w:after="40"/>
      </w:pPr>
      <w:r>
        <w:rPr>
          <w:rFonts w:ascii="Arial" w:cs="Arial" w:eastAsia="Arial" w:hAnsi="Arial"/>
          <w:sz w:val="20"/>
          <w:szCs w:val="20"/>
        </w:rPr>
        <w:t xml:space="preserve">DiD with low-exposure control BAs</w:t>
      </w:r>
    </w:p>
    <w:p>
      <w:pPr>
        <w:pStyle w:val="ListParagraph"/>
        <w:numPr>
          <w:ilvl w:val="0"/>
          <w:numId w:val="2"/>
        </w:numPr>
        <w:spacing w:before="40" w:after="40"/>
      </w:pPr>
      <w:r>
        <w:rPr>
          <w:rFonts w:ascii="Arial" w:cs="Arial" w:eastAsia="Arial" w:hAnsi="Arial"/>
          <w:sz w:val="20"/>
          <w:szCs w:val="20"/>
        </w:rPr>
        <w:t xml:space="preserve">Lag sensitivity testing: 12, 18, 24, and 30-month specifications</w:t>
      </w:r>
    </w:p>
    <w:p>
      <w:pPr>
        <w:pStyle w:val="ListParagraph"/>
        <w:numPr>
          <w:ilvl w:val="0"/>
          <w:numId w:val="2"/>
        </w:numPr>
        <w:spacing w:before="40" w:after="40"/>
      </w:pPr>
      <w:r>
        <w:rPr>
          <w:rFonts w:ascii="Arial" w:cs="Arial" w:eastAsia="Arial" w:hAnsi="Arial"/>
          <w:sz w:val="20"/>
          <w:szCs w:val="20"/>
        </w:rPr>
        <w:t xml:space="preserve">MW threshold sensitivity: 50MW, histogram-determined, 200MW</w:t>
      </w:r>
    </w:p>
    <w:p>
      <w:pPr>
        <w:pStyle w:val="ListParagraph"/>
        <w:numPr>
          <w:ilvl w:val="0"/>
          <w:numId w:val="2"/>
        </w:numPr>
        <w:spacing w:before="40" w:after="40"/>
      </w:pPr>
      <w:r>
        <w:rPr>
          <w:rFonts w:ascii="Arial" w:cs="Arial" w:eastAsia="Arial" w:hAnsi="Arial"/>
          <w:sz w:val="20"/>
          <w:szCs w:val="20"/>
        </w:rPr>
        <w:t xml:space="preserve">Control specification robustness: GDP exclusion, BA linear and quadratic time trends</w:t>
      </w:r>
    </w:p>
    <w:p>
      <w:pPr>
        <w:pStyle w:val="ListParagraph"/>
        <w:numPr>
          <w:ilvl w:val="0"/>
          <w:numId w:val="2"/>
        </w:numPr>
        <w:spacing w:before="40" w:after="40"/>
      </w:pPr>
      <w:r>
        <w:rPr>
          <w:rFonts w:ascii="Arial" w:cs="Arial" w:eastAsia="Arial" w:hAnsi="Arial"/>
          <w:sz w:val="20"/>
          <w:szCs w:val="20"/>
        </w:rPr>
        <w:t xml:space="preserve">Queue variable robustness: large-only vs. all-project filings</w:t>
      </w:r>
    </w:p>
    <w:p>
      <w:pPr>
        <w:pStyle w:val="ListParagraph"/>
        <w:numPr>
          <w:ilvl w:val="0"/>
          <w:numId w:val="2"/>
        </w:numPr>
        <w:spacing w:before="40" w:after="40"/>
      </w:pPr>
      <w:r>
        <w:rPr>
          <w:rFonts w:ascii="Arial" w:cs="Arial" w:eastAsia="Arial" w:hAnsi="Arial"/>
          <w:sz w:val="20"/>
          <w:szCs w:val="20"/>
        </w:rPr>
        <w:t xml:space="preserve">Four-panel robustness table structure</w:t>
      </w:r>
    </w:p>
    <w:p>
      <w:pPr>
        <w:pStyle w:val="ListParagraph"/>
        <w:numPr>
          <w:ilvl w:val="0"/>
          <w:numId w:val="2"/>
        </w:numPr>
        <w:spacing w:before="40" w:after="40"/>
      </w:pPr>
      <w:r>
        <w:rPr>
          <w:rFonts w:ascii="Arial" w:cs="Arial" w:eastAsia="Arial" w:hAnsi="Arial"/>
          <w:sz w:val="20"/>
          <w:szCs w:val="20"/>
        </w:rPr>
        <w:t xml:space="preserve">Regression-to-forecast handoff logic</w:t>
      </w:r>
    </w:p>
    <w:p>
      <w:pPr>
        <w:pStyle w:val="ListParagraph"/>
        <w:numPr>
          <w:ilvl w:val="0"/>
          <w:numId w:val="2"/>
        </w:numPr>
        <w:spacing w:before="40" w:after="40"/>
      </w:pPr>
      <w:r>
        <w:rPr>
          <w:rFonts w:ascii="Arial" w:cs="Arial" w:eastAsia="Arial" w:hAnsi="Arial"/>
          <w:sz w:val="20"/>
          <w:szCs w:val="20"/>
        </w:rPr>
        <w:t xml:space="preserve">Data gap framing as a policy finding</w:t>
      </w:r>
    </w:p>
    <w:p>
      <w:pPr>
        <w:pStyle w:val="ListParagraph"/>
        <w:numPr>
          <w:ilvl w:val="0"/>
          <w:numId w:val="2"/>
        </w:numPr>
        <w:spacing w:before="40" w:after="40"/>
      </w:pPr>
      <w:r>
        <w:rPr>
          <w:rFonts w:ascii="Arial" w:cs="Arial" w:eastAsia="Arial" w:hAnsi="Arial"/>
          <w:sz w:val="20"/>
          <w:szCs w:val="20"/>
        </w:rPr>
        <w:t xml:space="preserve">Coefficient interpretation language — banned and required words</w:t>
      </w:r>
    </w:p>
    <w:p>
      <w:pPr>
        <w:spacing w:before="80" w:after="80"/>
      </w:pPr>
    </w:p>
    <w:p>
      <w:pPr>
        <w:pBdr>
          <w:bottom w:val="single" w:color="CCCCCC" w:sz="4" w:space="1"/>
        </w:pBdr>
        <w:spacing w:before="120" w:after="120"/>
      </w:pPr>
    </w:p>
    <w:p>
      <w:pPr>
        <w:pStyle w:val="Heading1"/>
        <w:spacing w:before="320" w:after="160"/>
      </w:pPr>
      <w:r>
        <w:rPr>
          <w:rFonts w:ascii="Arial" w:cs="Arial" w:eastAsia="Arial" w:hAnsi="Arial"/>
          <w:b/>
          <w:bCs/>
          <w:color w:val="2E4057"/>
          <w:sz w:val="32"/>
          <w:szCs w:val="32"/>
        </w:rPr>
        <w:t xml:space="preserve">1. Identification Strategy</w:t>
      </w:r>
    </w:p>
    <w:p>
      <w:pPr>
        <w:spacing w:before="80" w:after="80"/>
      </w:pPr>
      <w:r>
        <w:rPr>
          <w:rFonts w:ascii="Arial" w:cs="Arial" w:eastAsia="Arial" w:hAnsi="Arial"/>
          <w:sz w:val="20"/>
          <w:szCs w:val="20"/>
        </w:rPr>
        <w:t xml:space="preserve">The project uses a four-layer identification strategy. Each layer makes different assumptions and fails differently. Convergence across layers is the evidence.</w:t>
      </w:r>
    </w:p>
    <w:p>
      <w:pPr>
        <w:spacing w:before="8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4960"/>
      </w:tblGrid>
      <w:tr>
        <w:trPr>
          <w:tblHeader/>
        </w:trPr>
        <w:tc>
          <w:tcPr>
            <w:tcW w:type="dxa" w:w="20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18"/>
                <w:szCs w:val="18"/>
              </w:rPr>
              <w:t xml:space="preserve">Decision</w:t>
            </w:r>
          </w:p>
        </w:tc>
        <w:tc>
          <w:tcPr>
            <w:tcW w:type="dxa" w:w="24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18"/>
                <w:szCs w:val="18"/>
              </w:rPr>
              <w:t xml:space="preserve">Choice</w:t>
            </w:r>
          </w:p>
        </w:tc>
        <w:tc>
          <w:tcPr>
            <w:tcW w:type="dxa" w:w="49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18"/>
                <w:szCs w:val="18"/>
              </w:rPr>
              <w:t xml:space="preserve">Rationale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Layer 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Panel Regression</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Conditional association estimate. Wild cluster bootstrap inference. Honest about 3-unit limitations.</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Layer 2</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Synthetic Control</w:t>
            </w:r>
          </w:p>
        </w:tc>
        <w:tc>
          <w:tcPr>
            <w:tcW w:type="dxa" w:w="4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ERCOT as treated unit. Bai-Perron treatment date. PJM/MISO as baseline donors. Acknowledged lower bound due to donor contamination.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Layer 3</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DiD with Low-Exposure Controls</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BAs classified by cumulative 100MW+ filings from LBL data. ISONE and NYISO as primary candidates. Least contaminated comparison.</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Layer 4</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Narrative Validation</w:t>
            </w:r>
          </w:p>
        </w:tc>
        <w:tc>
          <w:tcPr>
            <w:tcW w:type="dxa" w:w="4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Known large ERCOT data center energizations overlaid on synthetic control gap plot. Mechanism evidence without a complete facility census.</w:t>
            </w:r>
          </w:p>
        </w:tc>
      </w:tr>
    </w:tbl>
    <w:p>
      <w:pPr>
        <w:spacing w:before="120" w:after="80"/>
      </w:pPr>
    </w:p>
    <w:p>
      <w:pPr>
        <w:spacing w:before="80" w:after="80"/>
      </w:pPr>
      <w:r>
        <w:rPr>
          <w:rFonts w:ascii="Arial" w:cs="Arial" w:eastAsia="Arial" w:hAnsi="Arial"/>
          <w:sz w:val="20"/>
          <w:szCs w:val="20"/>
        </w:rPr>
        <w:t xml:space="preserve">Expected ordering of estimates: Synthetic control (lowest, contaminated donors) &lt; Panel regression (middle) &lt; DiD with clean controls (highest). If estimates order this way, contamination lower bound story is confirmed.</w:t>
      </w:r>
    </w:p>
    <w:p>
      <w:pPr>
        <w:pBdr>
          <w:bottom w:val="single" w:color="CCCCCC" w:sz="4" w:space="1"/>
        </w:pBdr>
        <w:spacing w:before="120" w:after="120"/>
      </w:pPr>
    </w:p>
    <w:p>
      <w:pPr>
        <w:pStyle w:val="Heading1"/>
        <w:spacing w:before="320" w:after="160"/>
      </w:pPr>
      <w:r>
        <w:rPr>
          <w:rFonts w:ascii="Arial" w:cs="Arial" w:eastAsia="Arial" w:hAnsi="Arial"/>
          <w:b/>
          <w:bCs/>
          <w:color w:val="2E4057"/>
          <w:sz w:val="32"/>
          <w:szCs w:val="32"/>
        </w:rPr>
        <w:t xml:space="preserve">2. Pre-Regression Work — Do Before Opening Stata</w:t>
      </w:r>
    </w:p>
    <w:p>
      <w:pPr>
        <w:pStyle w:val="Heading2"/>
        <w:spacing w:before="240" w:after="120"/>
      </w:pPr>
      <w:r>
        <w:rPr>
          <w:rFonts w:ascii="Arial" w:cs="Arial" w:eastAsia="Arial" w:hAnsi="Arial"/>
          <w:b/>
          <w:bCs/>
          <w:color w:val="2E4057"/>
          <w:sz w:val="26"/>
          <w:szCs w:val="26"/>
        </w:rPr>
        <w:t xml:space="preserve">2.1 Histogram Analysis</w:t>
      </w:r>
    </w:p>
    <w:p>
      <w:pPr>
        <w:spacing w:before="80" w:after="80"/>
      </w:pPr>
      <w:r>
        <w:rPr>
          <w:rFonts w:ascii="Arial" w:cs="Arial" w:eastAsia="Arial" w:hAnsi="Arial"/>
          <w:sz w:val="20"/>
          <w:szCs w:val="20"/>
        </w:rPr>
        <w:t xml:space="preserve">Purpose: Determine the MW threshold for 'large' projects from the data rather than an arbitrary round number.</w:t>
      </w:r>
    </w:p>
    <w:p>
      <w:pPr>
        <w:spacing w:before="60" w:after="40"/>
      </w:pPr>
    </w:p>
    <w:p>
      <w:pPr>
        <w:pStyle w:val="ListParagraph"/>
        <w:numPr>
          <w:ilvl w:val="0"/>
          <w:numId w:val="2"/>
        </w:numPr>
        <w:spacing w:before="40" w:after="40"/>
      </w:pPr>
      <w:r>
        <w:rPr>
          <w:rFonts w:ascii="Arial" w:cs="Arial" w:eastAsia="Arial" w:hAnsi="Arial"/>
          <w:sz w:val="20"/>
          <w:szCs w:val="20"/>
        </w:rPr>
        <w:t xml:space="preserve">Plot histogram of all project MW sizes from LBL queue data</w:t>
      </w:r>
    </w:p>
    <w:p>
      <w:pPr>
        <w:pStyle w:val="ListParagraph"/>
        <w:numPr>
          <w:ilvl w:val="0"/>
          <w:numId w:val="2"/>
        </w:numPr>
        <w:spacing w:before="40" w:after="40"/>
      </w:pPr>
      <w:r>
        <w:rPr>
          <w:rFonts w:ascii="Arial" w:cs="Arial" w:eastAsia="Arial" w:hAnsi="Arial"/>
          <w:sz w:val="20"/>
          <w:szCs w:val="20"/>
        </w:rPr>
        <w:t xml:space="preserve">Look for natural breaks, gaps, or bimodal distribution</w:t>
      </w:r>
    </w:p>
    <w:p>
      <w:pPr>
        <w:pStyle w:val="ListParagraph"/>
        <w:numPr>
          <w:ilvl w:val="0"/>
          <w:numId w:val="2"/>
        </w:numPr>
        <w:spacing w:before="40" w:after="40"/>
      </w:pPr>
      <w:r>
        <w:rPr>
          <w:rFonts w:ascii="Arial" w:cs="Arial" w:eastAsia="Arial" w:hAnsi="Arial"/>
          <w:sz w:val="20"/>
          <w:szCs w:val="20"/>
        </w:rPr>
        <w:t xml:space="preserve">If a natural break exists: use it as the threshold, document it, cite it as data-driven</w:t>
      </w:r>
    </w:p>
    <w:p>
      <w:pPr>
        <w:pStyle w:val="ListParagraph"/>
        <w:numPr>
          <w:ilvl w:val="0"/>
          <w:numId w:val="2"/>
        </w:numPr>
        <w:spacing w:before="40" w:after="40"/>
      </w:pPr>
      <w:r>
        <w:rPr>
          <w:rFonts w:ascii="Arial" w:cs="Arial" w:eastAsia="Arial" w:hAnsi="Arial"/>
          <w:sz w:val="20"/>
          <w:szCs w:val="20"/>
        </w:rPr>
        <w:t xml:space="preserve">If distribution is smooth: use 100MW with hyperscale industry definition citation, run sensitivity at 50MW and 200MW</w:t>
      </w:r>
    </w:p>
    <w:p>
      <w:pPr>
        <w:pStyle w:val="ListParagraph"/>
        <w:numPr>
          <w:ilvl w:val="0"/>
          <w:numId w:val="2"/>
        </w:numPr>
        <w:spacing w:before="40" w:after="40"/>
      </w:pPr>
      <w:r>
        <w:rPr>
          <w:rFonts w:ascii="Arial" w:cs="Arial" w:eastAsia="Arial" w:hAnsi="Arial"/>
          <w:sz w:val="20"/>
          <w:szCs w:val="20"/>
        </w:rPr>
        <w:t xml:space="preserve">The histogram is paper-worthy — include it in the Data section with one explanatory paragraph</w:t>
      </w:r>
    </w:p>
    <w:p>
      <w:pPr>
        <w:spacing w:before="60" w:after="40"/>
      </w:pPr>
    </w:p>
    <w:p>
      <w:pPr>
        <w:spacing w:before="80" w:after="80"/>
        <w:ind w:left="360"/>
      </w:pPr>
      <w:r>
        <w:rPr>
          <w:rFonts w:ascii="Arial" w:cs="Arial" w:eastAsia="Arial" w:hAnsi="Arial"/>
          <w:b/>
          <w:bCs/>
          <w:color w:val="666666"/>
          <w:sz w:val="20"/>
          <w:szCs w:val="20"/>
        </w:rPr>
        <w:t xml:space="preserve">Note: </w:t>
      </w:r>
      <w:r>
        <w:rPr>
          <w:rFonts w:ascii="Arial" w:cs="Arial" w:eastAsia="Arial" w:hAnsi="Arial"/>
          <w:i/>
          <w:iCs/>
          <w:color w:val="666666"/>
          <w:sz w:val="20"/>
          <w:szCs w:val="20"/>
        </w:rPr>
        <w:t xml:space="preserve">Do not run any regression before the histogram is produced. The threshold must be set before results can influence the choice.</w:t>
      </w:r>
    </w:p>
    <w:p>
      <w:pPr>
        <w:pStyle w:val="Heading2"/>
        <w:spacing w:before="240" w:after="120"/>
      </w:pPr>
      <w:r>
        <w:rPr>
          <w:rFonts w:ascii="Arial" w:cs="Arial" w:eastAsia="Arial" w:hAnsi="Arial"/>
          <w:b/>
          <w:bCs/>
          <w:color w:val="2E4057"/>
          <w:sz w:val="26"/>
          <w:szCs w:val="26"/>
        </w:rPr>
        <w:t xml:space="preserve">2.2 Outcome Variable Check</w:t>
      </w:r>
    </w:p>
    <w:p>
      <w:pPr>
        <w:spacing w:before="80" w:after="80"/>
      </w:pPr>
      <w:r>
        <w:rPr>
          <w:rFonts w:ascii="Arial" w:cs="Arial" w:eastAsia="Arial" w:hAnsi="Arial"/>
          <w:sz w:val="20"/>
          <w:szCs w:val="20"/>
        </w:rPr>
        <w:t xml:space="preserve">Examine the distribution of avg_demand_mwh before running regressions. If heavily skewed, run a log-transformed robustness check. The log specification makes the coefficient a semi-elasticity — interpretable as percent change in demand per MW of filings.</w:t>
      </w:r>
    </w:p>
    <w:p>
      <w:pPr>
        <w:pStyle w:val="Heading2"/>
        <w:spacing w:before="240" w:after="120"/>
      </w:pPr>
      <w:r>
        <w:rPr>
          <w:rFonts w:ascii="Arial" w:cs="Arial" w:eastAsia="Arial" w:hAnsi="Arial"/>
          <w:b/>
          <w:bCs/>
          <w:color w:val="2E4057"/>
          <w:sz w:val="26"/>
          <w:szCs w:val="26"/>
        </w:rPr>
        <w:t xml:space="preserve">2.3 Bai-Perron Structural Break Test</w:t>
      </w:r>
    </w:p>
    <w:p>
      <w:pPr>
        <w:spacing w:before="80" w:after="80"/>
      </w:pPr>
      <w:r>
        <w:rPr>
          <w:rFonts w:ascii="Arial" w:cs="Arial" w:eastAsia="Arial" w:hAnsi="Arial"/>
          <w:sz w:val="20"/>
          <w:szCs w:val="20"/>
        </w:rPr>
        <w:t xml:space="preserve">Run on ERCOT only. Identifies the treatment date for synthetic control. Must be executed before any synthetic control results are examined — the treatment date cannot be chosen after seeing which date maximizes the gap.</w:t>
      </w:r>
    </w:p>
    <w:p>
      <w:pPr>
        <w:spacing w:before="60" w:after="40"/>
      </w:pPr>
    </w:p>
    <w:p>
      <w:pPr>
        <w:spacing w:before="60" w:after="60"/>
        <w:ind w:left="360"/>
      </w:pPr>
      <w:r>
        <w:rPr>
          <w:rFonts w:ascii="Courier New" w:cs="Courier New" w:eastAsia="Courier New" w:hAnsi="Courier New"/>
          <w:color w:val="333333"/>
          <w:sz w:val="18"/>
          <w:szCs w:val="18"/>
        </w:rPr>
        <w:t xml:space="preserve">preserve</w:t>
      </w:r>
    </w:p>
    <w:p>
      <w:pPr>
        <w:spacing w:before="60" w:after="60"/>
        <w:ind w:left="360"/>
      </w:pPr>
      <w:r>
        <w:rPr>
          <w:rFonts w:ascii="Courier New" w:cs="Courier New" w:eastAsia="Courier New" w:hAnsi="Courier New"/>
          <w:color w:val="333333"/>
          <w:sz w:val="18"/>
          <w:szCs w:val="18"/>
        </w:rPr>
        <w:t xml:space="preserve">keep if ba_id == "ERCO"</w:t>
      </w:r>
    </w:p>
    <w:p>
      <w:pPr>
        <w:spacing w:before="60" w:after="60"/>
        <w:ind w:left="360"/>
      </w:pPr>
      <w:r>
        <w:rPr>
          <w:rFonts w:ascii="Courier New" w:cs="Courier New" w:eastAsia="Courier New" w:hAnsi="Courier New"/>
          <w:color w:val="333333"/>
          <w:sz w:val="18"/>
          <w:szCs w:val="18"/>
        </w:rPr>
        <w:t xml:space="preserve">tsset month_year</w:t>
      </w:r>
    </w:p>
    <w:p>
      <w:pPr>
        <w:spacing w:before="60" w:after="60"/>
        <w:ind w:left="360"/>
      </w:pPr>
      <w:r>
        <w:rPr>
          <w:rFonts w:ascii="Courier New" w:cs="Courier New" w:eastAsia="Courier New" w:hAnsi="Courier New"/>
          <w:color w:val="333333"/>
          <w:sz w:val="18"/>
          <w:szCs w:val="18"/>
        </w:rPr>
        <w:t xml:space="preserve">estat sbsingle avg_demand_mwh, maxbreaks(3)</w:t>
      </w:r>
    </w:p>
    <w:p>
      <w:pPr>
        <w:spacing w:before="60" w:after="60"/>
        <w:ind w:left="360"/>
      </w:pPr>
      <w:r>
        <w:rPr>
          <w:rFonts w:ascii="Courier New" w:cs="Courier New" w:eastAsia="Courier New" w:hAnsi="Courier New"/>
          <w:color w:val="333333"/>
          <w:sz w:val="18"/>
          <w:szCs w:val="18"/>
        </w:rPr>
        <w:t xml:space="preserve">restore</w:t>
      </w:r>
    </w:p>
    <w:p>
      <w:pPr>
        <w:spacing w:before="60" w:after="40"/>
      </w:pPr>
    </w:p>
    <w:p>
      <w:pPr>
        <w:spacing w:before="80" w:after="80"/>
      </w:pPr>
      <w:r>
        <w:rPr>
          <w:rFonts w:ascii="Arial" w:cs="Arial" w:eastAsia="Arial" w:hAnsi="Arial"/>
          <w:sz w:val="20"/>
          <w:szCs w:val="20"/>
        </w:rPr>
        <w:t xml:space="preserve">Record the identified break date. Run calendar date robustness check at 2022m1 regardless of Bai-Perron result. If the two dates are close, that coherence is itself evidence.</w:t>
      </w:r>
    </w:p>
    <w:p>
      <w:pPr>
        <w:pBdr>
          <w:bottom w:val="single" w:color="CCCCCC" w:sz="4" w:space="1"/>
        </w:pBdr>
        <w:spacing w:before="120" w:after="120"/>
      </w:pPr>
    </w:p>
    <w:p>
      <w:pPr>
        <w:pStyle w:val="Heading1"/>
        <w:spacing w:before="320" w:after="160"/>
      </w:pPr>
      <w:r>
        <w:rPr>
          <w:rFonts w:ascii="Arial" w:cs="Arial" w:eastAsia="Arial" w:hAnsi="Arial"/>
          <w:b/>
          <w:bCs/>
          <w:color w:val="2E4057"/>
          <w:sz w:val="32"/>
          <w:szCs w:val="32"/>
        </w:rPr>
        <w:t xml:space="preserve">3. Panel Regression Specification</w:t>
      </w:r>
    </w:p>
    <w:p>
      <w:pPr>
        <w:pStyle w:val="Heading2"/>
        <w:spacing w:before="240" w:after="120"/>
      </w:pPr>
      <w:r>
        <w:rPr>
          <w:rFonts w:ascii="Arial" w:cs="Arial" w:eastAsia="Arial" w:hAnsi="Arial"/>
          <w:b/>
          <w:bCs/>
          <w:color w:val="2E4057"/>
          <w:sz w:val="26"/>
          <w:szCs w:val="26"/>
        </w:rPr>
        <w:t xml:space="preserve">3.1 Primary Specification</w:t>
      </w:r>
    </w:p>
    <w:p>
      <w:pPr>
        <w:spacing w:before="80" w:after="80"/>
      </w:pPr>
      <w:r>
        <w:rPr>
          <w:rFonts w:ascii="Arial" w:cs="Arial" w:eastAsia="Arial" w:hAnsi="Arial"/>
          <w:sz w:val="20"/>
          <w:szCs w:val="20"/>
        </w:rPr>
        <w:t xml:space="preserve">Outcome: avg_demand_mwh. Primary regressor: queue_mw_filed_large at 18-month lag. Fixed effects: BA-level and month-year. Controls: HDD, CDD, regional GDP.</w:t>
      </w:r>
    </w:p>
    <w:p>
      <w:pPr>
        <w:spacing w:before="60" w:after="40"/>
      </w:pPr>
    </w:p>
    <w:p>
      <w:pPr>
        <w:spacing w:before="60" w:after="60"/>
        <w:ind w:left="360"/>
      </w:pPr>
      <w:r>
        <w:rPr>
          <w:rFonts w:ascii="Courier New" w:cs="Courier New" w:eastAsia="Courier New" w:hAnsi="Courier New"/>
          <w:color w:val="333333"/>
          <w:sz w:val="18"/>
          <w:szCs w:val="18"/>
        </w:rPr>
        <w:t xml:space="preserve">reghdfe avg_demand_mwh queue_lag18 hdd cdd gdp, ///</w:t>
      </w:r>
    </w:p>
    <w:p>
      <w:pPr>
        <w:spacing w:before="60" w:after="60"/>
        <w:ind w:left="360"/>
      </w:pPr>
      <w:r>
        <w:rPr>
          <w:rFonts w:ascii="Courier New" w:cs="Courier New" w:eastAsia="Courier New" w:hAnsi="Courier New"/>
          <w:color w:val="333333"/>
          <w:sz w:val="18"/>
          <w:szCs w:val="18"/>
        </w:rPr>
        <w:t xml:space="preserve">    absorb(ba_num month_year) cluster(ba_id)</w:t>
      </w:r>
    </w:p>
    <w:p>
      <w:pPr>
        <w:spacing w:before="60" w:after="60"/>
        <w:ind w:left="360"/>
      </w:pPr>
      <w:r>
        <w:rPr>
          <w:rFonts w:ascii="Courier New" w:cs="Courier New" w:eastAsia="Courier New" w:hAnsi="Courier New"/>
          <w:color w:val="333333"/>
          <w:sz w:val="18"/>
          <w:szCs w:val="18"/>
        </w:rPr>
        <w:t xml:space="preserve"/>
      </w:r>
    </w:p>
    <w:p>
      <w:pPr>
        <w:spacing w:before="60" w:after="60"/>
        <w:ind w:left="360"/>
      </w:pPr>
      <w:r>
        <w:rPr>
          <w:rFonts w:ascii="Courier New" w:cs="Courier New" w:eastAsia="Courier New" w:hAnsi="Courier New"/>
          <w:color w:val="333333"/>
          <w:sz w:val="18"/>
          <w:szCs w:val="18"/>
        </w:rPr>
        <w:t xml:space="preserve">boottest queue_lag18, boottype(wild) cluster(ba_id) ///</w:t>
      </w:r>
    </w:p>
    <w:p>
      <w:pPr>
        <w:spacing w:before="60" w:after="60"/>
        <w:ind w:left="360"/>
      </w:pPr>
      <w:r>
        <w:rPr>
          <w:rFonts w:ascii="Courier New" w:cs="Courier New" w:eastAsia="Courier New" w:hAnsi="Courier New"/>
          <w:color w:val="333333"/>
          <w:sz w:val="18"/>
          <w:szCs w:val="18"/>
        </w:rPr>
        <w:t xml:space="preserve">    reps(999) seed(42)</w:t>
      </w:r>
    </w:p>
    <w:p>
      <w:pPr>
        <w:spacing w:before="80" w:after="40"/>
      </w:pPr>
    </w:p>
    <w:p>
      <w:pPr>
        <w:spacing w:before="80" w:after="80"/>
      </w:pPr>
      <w:r>
        <w:rPr>
          <w:rFonts w:ascii="Arial" w:cs="Arial" w:eastAsia="Arial" w:hAnsi="Arial"/>
          <w:sz w:val="20"/>
          <w:szCs w:val="20"/>
        </w:rPr>
        <w:t xml:space="preserve">Use boottest output for all inference. Do not report regression's own clustered SE p-values anywhere in the paper.</w:t>
      </w:r>
    </w:p>
    <w:p>
      <w:pPr>
        <w:pStyle w:val="Heading2"/>
        <w:spacing w:before="240" w:after="120"/>
      </w:pPr>
      <w:r>
        <w:rPr>
          <w:rFonts w:ascii="Arial" w:cs="Arial" w:eastAsia="Arial" w:hAnsi="Arial"/>
          <w:b/>
          <w:bCs/>
          <w:color w:val="2E4057"/>
          <w:sz w:val="26"/>
          <w:szCs w:val="26"/>
        </w:rPr>
        <w:t xml:space="preserve">3.2 Specification Decision Table</w:t>
      </w:r>
    </w:p>
    <w:p>
      <w:pPr>
        <w:spacing w:before="8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4960"/>
      </w:tblGrid>
      <w:tr>
        <w:trPr>
          <w:tblHeader/>
        </w:trPr>
        <w:tc>
          <w:tcPr>
            <w:tcW w:type="dxa" w:w="20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18"/>
                <w:szCs w:val="18"/>
              </w:rPr>
              <w:t xml:space="preserve">Decision</w:t>
            </w:r>
          </w:p>
        </w:tc>
        <w:tc>
          <w:tcPr>
            <w:tcW w:type="dxa" w:w="24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18"/>
                <w:szCs w:val="18"/>
              </w:rPr>
              <w:t xml:space="preserve">Choice</w:t>
            </w:r>
          </w:p>
        </w:tc>
        <w:tc>
          <w:tcPr>
            <w:tcW w:type="dxa" w:w="49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18"/>
                <w:szCs w:val="18"/>
              </w:rPr>
              <w:t xml:space="preserve">Rationale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Outcome variable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avg_demand_mwh</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Monthly average hourly demand. Core EIA Form 930 series.</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Primary regressor</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queue_mw_filed_large, 18-month lag</w:t>
            </w:r>
          </w:p>
        </w:tc>
        <w:tc>
          <w:tcPr>
            <w:tcW w:type="dxa" w:w="4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100MW+ projects. Lag set by median construction timeline prior, not results.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MW threshold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Histogram-determined</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Data-driven. Sensitivity at 50MW and 200MW regardless.</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BA fixed effects</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Included</w:t>
            </w:r>
          </w:p>
        </w:tc>
        <w:tc>
          <w:tcPr>
            <w:tcW w:type="dxa" w:w="4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Absorb time-invariant level differences across BAs.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Month-year fixed effects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Included</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Absorb common demand shocks across all BAs.</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Weather controls</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HDD and CDD</w:t>
            </w:r>
          </w:p>
        </w:tc>
        <w:tc>
          <w:tcPr>
            <w:tcW w:type="dxa" w:w="4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Non-negotiable. Demand has strong seasonal patterns.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GDP control</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Included in baseline</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Absorbs secular economic differences. Excluded in robustness check.</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Inference method</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Wild cluster bootstrap</w:t>
            </w:r>
          </w:p>
        </w:tc>
        <w:tc>
          <w:tcPr>
            <w:tcW w:type="dxa" w:w="4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3 clusters makes asymptotic inference unreliable. Minimum p-value = 0.125.</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Clustering</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BA level</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Errors correlated within BA over time.</w:t>
            </w:r>
          </w:p>
        </w:tc>
      </w:tr>
    </w:tbl>
    <w:p>
      <w:pPr>
        <w:spacing w:before="120" w:after="80"/>
      </w:pPr>
    </w:p>
    <w:p>
      <w:pPr>
        <w:pStyle w:val="Heading2"/>
        <w:spacing w:before="240" w:after="120"/>
      </w:pPr>
      <w:r>
        <w:rPr>
          <w:rFonts w:ascii="Arial" w:cs="Arial" w:eastAsia="Arial" w:hAnsi="Arial"/>
          <w:b/>
          <w:bCs/>
          <w:color w:val="2E4057"/>
          <w:sz w:val="26"/>
          <w:szCs w:val="26"/>
        </w:rPr>
        <w:t xml:space="preserve">3.3 Inference Rules</w:t>
      </w:r>
    </w:p>
    <w:p>
      <w:pPr>
        <w:spacing w:before="80" w:after="80"/>
      </w:pPr>
      <w:r>
        <w:rPr>
          <w:rFonts w:ascii="Arial" w:cs="Arial" w:eastAsia="Arial" w:hAnsi="Arial"/>
          <w:sz w:val="20"/>
          <w:szCs w:val="20"/>
        </w:rPr>
        <w:t xml:space="preserve">The minimum achievable p-value with 3 clusters under wild cluster bootstrap is 1/8 = 0.125. This is reported explicitly in the paper as a finding, not hidden. The paper interprets the regression as descriptive — coefficient magnitude and stability across specifications are the primary evidence, not a p-value below 0.05.</w:t>
      </w:r>
    </w:p>
    <w:p>
      <w:pPr>
        <w:pStyle w:val="Heading2"/>
        <w:spacing w:before="240" w:after="120"/>
      </w:pPr>
      <w:r>
        <w:rPr>
          <w:rFonts w:ascii="Arial" w:cs="Arial" w:eastAsia="Arial" w:hAnsi="Arial"/>
          <w:b/>
          <w:bCs/>
          <w:color w:val="2E4057"/>
          <w:sz w:val="26"/>
          <w:szCs w:val="26"/>
        </w:rPr>
        <w:t xml:space="preserve">3.4 Lag Construction in Stata</w:t>
      </w:r>
    </w:p>
    <w:p>
      <w:pPr>
        <w:spacing w:before="60" w:after="40"/>
      </w:pPr>
    </w:p>
    <w:p>
      <w:pPr>
        <w:spacing w:before="60" w:after="60"/>
        <w:ind w:left="360"/>
      </w:pPr>
      <w:r>
        <w:rPr>
          <w:rFonts w:ascii="Courier New" w:cs="Courier New" w:eastAsia="Courier New" w:hAnsi="Courier New"/>
          <w:color w:val="333333"/>
          <w:sz w:val="18"/>
          <w:szCs w:val="18"/>
        </w:rPr>
        <w:t xml:space="preserve">sort ba_id date</w:t>
      </w:r>
    </w:p>
    <w:p>
      <w:pPr>
        <w:spacing w:before="60" w:after="60"/>
        <w:ind w:left="360"/>
      </w:pPr>
      <w:r>
        <w:rPr>
          <w:rFonts w:ascii="Courier New" w:cs="Courier New" w:eastAsia="Courier New" w:hAnsi="Courier New"/>
          <w:color w:val="333333"/>
          <w:sz w:val="18"/>
          <w:szCs w:val="18"/>
        </w:rPr>
        <w:t xml:space="preserve">by ba_id: gen queue_lag12 = queue_mw_filed_large[_n-12]</w:t>
      </w:r>
    </w:p>
    <w:p>
      <w:pPr>
        <w:spacing w:before="60" w:after="60"/>
        <w:ind w:left="360"/>
      </w:pPr>
      <w:r>
        <w:rPr>
          <w:rFonts w:ascii="Courier New" w:cs="Courier New" w:eastAsia="Courier New" w:hAnsi="Courier New"/>
          <w:color w:val="333333"/>
          <w:sz w:val="18"/>
          <w:szCs w:val="18"/>
        </w:rPr>
        <w:t xml:space="preserve">by ba_id: gen queue_lag18 = queue_mw_filed_large[_n-18]</w:t>
      </w:r>
    </w:p>
    <w:p>
      <w:pPr>
        <w:spacing w:before="60" w:after="60"/>
        <w:ind w:left="360"/>
      </w:pPr>
      <w:r>
        <w:rPr>
          <w:rFonts w:ascii="Courier New" w:cs="Courier New" w:eastAsia="Courier New" w:hAnsi="Courier New"/>
          <w:color w:val="333333"/>
          <w:sz w:val="18"/>
          <w:szCs w:val="18"/>
        </w:rPr>
        <w:t xml:space="preserve">by ba_id: gen queue_lag24 = queue_mw_filed_large[_n-24]</w:t>
      </w:r>
    </w:p>
    <w:p>
      <w:pPr>
        <w:spacing w:before="60" w:after="60"/>
        <w:ind w:left="360"/>
      </w:pPr>
      <w:r>
        <w:rPr>
          <w:rFonts w:ascii="Courier New" w:cs="Courier New" w:eastAsia="Courier New" w:hAnsi="Courier New"/>
          <w:color w:val="333333"/>
          <w:sz w:val="18"/>
          <w:szCs w:val="18"/>
        </w:rPr>
        <w:t xml:space="preserve">by ba_id: gen queue_lag30 = queue_mw_filed_large[_n-30]</w:t>
      </w:r>
    </w:p>
    <w:p>
      <w:pPr>
        <w:spacing w:before="60" w:after="40"/>
      </w:pPr>
    </w:p>
    <w:p>
      <w:pPr>
        <w:spacing w:before="80" w:after="80"/>
        <w:ind w:left="360"/>
      </w:pPr>
      <w:r>
        <w:rPr>
          <w:rFonts w:ascii="Arial" w:cs="Arial" w:eastAsia="Arial" w:hAnsi="Arial"/>
          <w:b/>
          <w:bCs/>
          <w:color w:val="666666"/>
          <w:sz w:val="20"/>
          <w:szCs w:val="20"/>
        </w:rPr>
        <w:t xml:space="preserve">Note: </w:t>
      </w:r>
      <w:r>
        <w:rPr>
          <w:rFonts w:ascii="Arial" w:cs="Arial" w:eastAsia="Arial" w:hAnsi="Arial"/>
          <w:i/>
          <w:iCs/>
          <w:color w:val="666666"/>
          <w:sz w:val="20"/>
          <w:szCs w:val="20"/>
        </w:rPr>
        <w:t xml:space="preserve">queue_lag18 is primary. Examine others only after running primary specification.</w:t>
      </w:r>
    </w:p>
    <w:p>
      <w:pPr>
        <w:pBdr>
          <w:bottom w:val="single" w:color="CCCCCC" w:sz="4" w:space="1"/>
        </w:pBdr>
        <w:spacing w:before="120" w:after="120"/>
      </w:pPr>
    </w:p>
    <w:p>
      <w:pPr>
        <w:pStyle w:val="Heading1"/>
        <w:spacing w:before="320" w:after="160"/>
      </w:pPr>
      <w:r>
        <w:rPr>
          <w:rFonts w:ascii="Arial" w:cs="Arial" w:eastAsia="Arial" w:hAnsi="Arial"/>
          <w:b/>
          <w:bCs/>
          <w:color w:val="2E4057"/>
          <w:sz w:val="32"/>
          <w:szCs w:val="32"/>
        </w:rPr>
        <w:t xml:space="preserve">4. Robustness Table Structure</w:t>
      </w:r>
    </w:p>
    <w:p>
      <w:pPr>
        <w:spacing w:before="80" w:after="80"/>
      </w:pPr>
      <w:r>
        <w:rPr>
          <w:rFonts w:ascii="Arial" w:cs="Arial" w:eastAsia="Arial" w:hAnsi="Arial"/>
          <w:sz w:val="20"/>
          <w:szCs w:val="20"/>
        </w:rPr>
        <w:t xml:space="preserve">Four panels. Every specification runs. Nothing is dropped because the result looks unfavorable. Selective reporting is the credibility killer.</w:t>
      </w:r>
    </w:p>
    <w:p>
      <w:pPr>
        <w:pStyle w:val="Heading2"/>
        <w:spacing w:before="240" w:after="120"/>
      </w:pPr>
      <w:r>
        <w:rPr>
          <w:rFonts w:ascii="Arial" w:cs="Arial" w:eastAsia="Arial" w:hAnsi="Arial"/>
          <w:b/>
          <w:bCs/>
          <w:color w:val="2E4057"/>
          <w:sz w:val="26"/>
          <w:szCs w:val="26"/>
        </w:rPr>
        <w:t xml:space="preserve">Panel A — Lag Sensitivity</w:t>
      </w:r>
    </w:p>
    <w:p>
      <w:pPr>
        <w:spacing w:before="80" w:after="40"/>
      </w:pP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800"/>
        <w:gridCol w:w="3200"/>
        <w:gridCol w:w="3200"/>
        <w:gridCol w:w="800"/>
      </w:tblGrid>
      <w:tr>
        <w:trPr>
          <w:tblHeader/>
        </w:trPr>
        <w:tc>
          <w:tcPr>
            <w:tcW w:type="dxa" w:w="8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18"/>
                <w:szCs w:val="18"/>
              </w:rPr>
              <w:t xml:space="preserve">Step</w:t>
            </w:r>
          </w:p>
        </w:tc>
        <w:tc>
          <w:tcPr>
            <w:tcW w:type="dxa" w:w="32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18"/>
                <w:szCs w:val="18"/>
              </w:rPr>
              <w:t xml:space="preserve">Task</w:t>
            </w:r>
          </w:p>
        </w:tc>
        <w:tc>
          <w:tcPr>
            <w:tcW w:type="dxa" w:w="32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18"/>
                <w:szCs w:val="18"/>
              </w:rPr>
              <w:t xml:space="preserve">Method / Tool</w:t>
            </w:r>
          </w:p>
        </w:tc>
        <w:tc>
          <w:tcPr>
            <w:tcW w:type="dxa" w:w="8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18"/>
                <w:szCs w:val="18"/>
              </w:rPr>
              <w:t xml:space="preserve">Status</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S1</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18-month lag</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queue_lag18 — primary specification</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Primary</w:t>
            </w:r>
          </w:p>
        </w:tc>
      </w:tr>
      <w:tr>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S2</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12-month lag</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queue_lag12 — lower bound on timeline</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Robustness</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S3</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24-month lag</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queue_lag24 — upper bound on timeline</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Robustness</w:t>
            </w:r>
          </w:p>
        </w:tc>
      </w:tr>
      <w:tr>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S4</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30-month lag</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queue_lag30 — constrained/delayed projects</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Robustness</w:t>
            </w:r>
          </w:p>
        </w:tc>
      </w:tr>
    </w:tbl>
    <w:p>
      <w:pPr>
        <w:spacing w:before="80" w:after="40"/>
      </w:pPr>
    </w:p>
    <w:p>
      <w:pPr>
        <w:spacing w:before="80" w:after="80"/>
        <w:ind w:left="360"/>
      </w:pPr>
      <w:r>
        <w:rPr>
          <w:rFonts w:ascii="Arial" w:cs="Arial" w:eastAsia="Arial" w:hAnsi="Arial"/>
          <w:b/>
          <w:bCs/>
          <w:color w:val="666666"/>
          <w:sz w:val="20"/>
          <w:szCs w:val="20"/>
        </w:rPr>
        <w:t xml:space="preserve">Note: </w:t>
      </w:r>
      <w:r>
        <w:rPr>
          <w:rFonts w:ascii="Arial" w:cs="Arial" w:eastAsia="Arial" w:hAnsi="Arial"/>
          <w:i/>
          <w:iCs/>
          <w:color w:val="666666"/>
          <w:sz w:val="20"/>
          <w:szCs w:val="20"/>
        </w:rPr>
        <w:t xml:space="preserve">The pattern across lags — not any single coefficient — is the finding. Coefficient peaking at 18-24 months and fading at 12 and 30 is consistent with construction timelines. Report as a finding.</w:t>
      </w:r>
    </w:p>
    <w:p>
      <w:pPr>
        <w:pStyle w:val="Heading2"/>
        <w:spacing w:before="240" w:after="120"/>
      </w:pPr>
      <w:r>
        <w:rPr>
          <w:rFonts w:ascii="Arial" w:cs="Arial" w:eastAsia="Arial" w:hAnsi="Arial"/>
          <w:b/>
          <w:bCs/>
          <w:color w:val="2E4057"/>
          <w:sz w:val="26"/>
          <w:szCs w:val="26"/>
        </w:rPr>
        <w:t xml:space="preserve">Panel B — MW Threshold Sensitivity</w:t>
      </w:r>
    </w:p>
    <w:p>
      <w:pPr>
        <w:spacing w:before="80" w:after="40"/>
      </w:pP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800"/>
        <w:gridCol w:w="3200"/>
        <w:gridCol w:w="3200"/>
        <w:gridCol w:w="800"/>
      </w:tblGrid>
      <w:tr>
        <w:trPr>
          <w:tblHeader/>
        </w:trPr>
        <w:tc>
          <w:tcPr>
            <w:tcW w:type="dxa" w:w="8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18"/>
                <w:szCs w:val="18"/>
              </w:rPr>
              <w:t xml:space="preserve">Step</w:t>
            </w:r>
          </w:p>
        </w:tc>
        <w:tc>
          <w:tcPr>
            <w:tcW w:type="dxa" w:w="32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18"/>
                <w:szCs w:val="18"/>
              </w:rPr>
              <w:t xml:space="preserve">Task</w:t>
            </w:r>
          </w:p>
        </w:tc>
        <w:tc>
          <w:tcPr>
            <w:tcW w:type="dxa" w:w="32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18"/>
                <w:szCs w:val="18"/>
              </w:rPr>
              <w:t xml:space="preserve">Method / Tool</w:t>
            </w:r>
          </w:p>
        </w:tc>
        <w:tc>
          <w:tcPr>
            <w:tcW w:type="dxa" w:w="8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18"/>
                <w:szCs w:val="18"/>
              </w:rPr>
              <w:t xml:space="preserve">Status</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S1</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Histogram threshold</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Primary — data-driven</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Primary</w:t>
            </w:r>
          </w:p>
        </w:tc>
      </w:tr>
      <w:tr>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S5</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50MW threshold</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queue_lag18_50 — lower bound on scale</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Robustness</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S6</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200MW threshold</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queue_lag18_200 — hyperscale only</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Robustness</w:t>
            </w:r>
          </w:p>
        </w:tc>
      </w:tr>
    </w:tbl>
    <w:p>
      <w:pPr>
        <w:spacing w:before="80" w:after="40"/>
      </w:pPr>
    </w:p>
    <w:p>
      <w:pPr>
        <w:spacing w:before="80" w:after="80"/>
        <w:ind w:left="360"/>
      </w:pPr>
      <w:r>
        <w:rPr>
          <w:rFonts w:ascii="Arial" w:cs="Arial" w:eastAsia="Arial" w:hAnsi="Arial"/>
          <w:b/>
          <w:bCs/>
          <w:color w:val="666666"/>
          <w:sz w:val="20"/>
          <w:szCs w:val="20"/>
        </w:rPr>
        <w:t xml:space="preserve">Note: </w:t>
      </w:r>
      <w:r>
        <w:rPr>
          <w:rFonts w:ascii="Arial" w:cs="Arial" w:eastAsia="Arial" w:hAnsi="Arial"/>
          <w:i/>
          <w:iCs/>
          <w:color w:val="666666"/>
          <w:sz w:val="20"/>
          <w:szCs w:val="20"/>
        </w:rPr>
        <w:t xml:space="preserve">Threshold variables must be constructed in Python before Stata session. Create queue_mw_filed_50 and queue_mw_filed_200 in build_panel.py.</w:t>
      </w:r>
    </w:p>
    <w:p>
      <w:pPr>
        <w:pStyle w:val="Heading2"/>
        <w:spacing w:before="240" w:after="120"/>
      </w:pPr>
      <w:r>
        <w:rPr>
          <w:rFonts w:ascii="Arial" w:cs="Arial" w:eastAsia="Arial" w:hAnsi="Arial"/>
          <w:b/>
          <w:bCs/>
          <w:color w:val="2E4057"/>
          <w:sz w:val="26"/>
          <w:szCs w:val="26"/>
        </w:rPr>
        <w:t xml:space="preserve">Panel C — Control Specification</w:t>
      </w:r>
    </w:p>
    <w:p>
      <w:pPr>
        <w:spacing w:before="80" w:after="40"/>
      </w:pP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800"/>
        <w:gridCol w:w="3200"/>
        <w:gridCol w:w="3200"/>
        <w:gridCol w:w="800"/>
      </w:tblGrid>
      <w:tr>
        <w:trPr>
          <w:tblHeader/>
        </w:trPr>
        <w:tc>
          <w:tcPr>
            <w:tcW w:type="dxa" w:w="8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18"/>
                <w:szCs w:val="18"/>
              </w:rPr>
              <w:t xml:space="preserve">Step</w:t>
            </w:r>
          </w:p>
        </w:tc>
        <w:tc>
          <w:tcPr>
            <w:tcW w:type="dxa" w:w="32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18"/>
                <w:szCs w:val="18"/>
              </w:rPr>
              <w:t xml:space="preserve">Task</w:t>
            </w:r>
          </w:p>
        </w:tc>
        <w:tc>
          <w:tcPr>
            <w:tcW w:type="dxa" w:w="32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18"/>
                <w:szCs w:val="18"/>
              </w:rPr>
              <w:t xml:space="preserve">Method / Tool</w:t>
            </w:r>
          </w:p>
        </w:tc>
        <w:tc>
          <w:tcPr>
            <w:tcW w:type="dxa" w:w="8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18"/>
                <w:szCs w:val="18"/>
              </w:rPr>
              <w:t xml:space="preserve">Status</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S1</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Baseline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HDD, CDD, GDP — full controls</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Primary</w:t>
            </w:r>
          </w:p>
        </w:tc>
      </w:tr>
      <w:tr>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S7</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No GDP</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HDD, CDD only — GDP exclusion check</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Robustness</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S8</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BA linear trends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Add BA-specific linear time trends</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Conservative robustness</w:t>
            </w:r>
          </w:p>
        </w:tc>
      </w:tr>
      <w:tr>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S9</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BA quadratic trends</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Add BA-specific quadratic time trends</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Most conservative</w:t>
            </w:r>
          </w:p>
        </w:tc>
      </w:tr>
    </w:tbl>
    <w:p>
      <w:pPr>
        <w:spacing w:before="80" w:after="40"/>
      </w:pPr>
    </w:p>
    <w:p>
      <w:pPr>
        <w:spacing w:before="80" w:after="80"/>
        <w:ind w:left="360"/>
      </w:pPr>
      <w:r>
        <w:rPr>
          <w:rFonts w:ascii="Arial" w:cs="Arial" w:eastAsia="Arial" w:hAnsi="Arial"/>
          <w:b/>
          <w:bCs/>
          <w:color w:val="666666"/>
          <w:sz w:val="20"/>
          <w:szCs w:val="20"/>
        </w:rPr>
        <w:t xml:space="preserve">Note: </w:t>
      </w:r>
      <w:r>
        <w:rPr>
          <w:rFonts w:ascii="Arial" w:cs="Arial" w:eastAsia="Arial" w:hAnsi="Arial"/>
          <w:i/>
          <w:iCs/>
          <w:color w:val="666666"/>
          <w:sz w:val="20"/>
          <w:szCs w:val="20"/>
        </w:rPr>
        <w:t xml:space="preserve">If coefficient attenuates in S8/S9, report and explain: BA-specific trends absorb secular ERCOT growth that may itself be data-center-driven. Attenuation under these specifications is expected and does not invalidate the baseline result.</w:t>
      </w:r>
    </w:p>
    <w:p>
      <w:pPr>
        <w:pStyle w:val="Heading2"/>
        <w:spacing w:before="240" w:after="120"/>
      </w:pPr>
      <w:r>
        <w:rPr>
          <w:rFonts w:ascii="Arial" w:cs="Arial" w:eastAsia="Arial" w:hAnsi="Arial"/>
          <w:b/>
          <w:bCs/>
          <w:color w:val="2E4057"/>
          <w:sz w:val="26"/>
          <w:szCs w:val="26"/>
        </w:rPr>
        <w:t xml:space="preserve">Panel D — Queue Variable</w:t>
      </w:r>
    </w:p>
    <w:p>
      <w:pPr>
        <w:spacing w:before="80" w:after="40"/>
      </w:pP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800"/>
        <w:gridCol w:w="3200"/>
        <w:gridCol w:w="3200"/>
        <w:gridCol w:w="800"/>
      </w:tblGrid>
      <w:tr>
        <w:trPr>
          <w:tblHeader/>
        </w:trPr>
        <w:tc>
          <w:tcPr>
            <w:tcW w:type="dxa" w:w="8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18"/>
                <w:szCs w:val="18"/>
              </w:rPr>
              <w:t xml:space="preserve">Step</w:t>
            </w:r>
          </w:p>
        </w:tc>
        <w:tc>
          <w:tcPr>
            <w:tcW w:type="dxa" w:w="32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18"/>
                <w:szCs w:val="18"/>
              </w:rPr>
              <w:t xml:space="preserve">Task</w:t>
            </w:r>
          </w:p>
        </w:tc>
        <w:tc>
          <w:tcPr>
            <w:tcW w:type="dxa" w:w="32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18"/>
                <w:szCs w:val="18"/>
              </w:rPr>
              <w:t xml:space="preserve">Method / Tool</w:t>
            </w:r>
          </w:p>
        </w:tc>
        <w:tc>
          <w:tcPr>
            <w:tcW w:type="dxa" w:w="8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18"/>
                <w:szCs w:val="18"/>
              </w:rPr>
              <w:t xml:space="preserve">Status</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S1</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Large projects only</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queue_lag18 — 100MW+ primary</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Primary</w:t>
            </w:r>
          </w:p>
        </w:tc>
      </w:tr>
      <w:tr>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S10</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All projects</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queue_all_lag18 — no threshold</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Robustness</w:t>
            </w:r>
          </w:p>
        </w:tc>
      </w:tr>
    </w:tbl>
    <w:p>
      <w:pPr>
        <w:pStyle w:val="Heading2"/>
        <w:spacing w:before="240" w:after="120"/>
      </w:pPr>
      <w:r>
        <w:rPr>
          <w:rFonts w:ascii="Arial" w:cs="Arial" w:eastAsia="Arial" w:hAnsi="Arial"/>
          <w:b/>
          <w:bCs/>
          <w:color w:val="2E4057"/>
          <w:sz w:val="26"/>
          <w:szCs w:val="26"/>
        </w:rPr>
        <w:t xml:space="preserve">Required Rows in Every Column</w:t>
      </w:r>
    </w:p>
    <w:p>
      <w:pPr>
        <w:spacing w:before="80" w:after="40"/>
      </w:pPr>
    </w:p>
    <w:p>
      <w:pPr>
        <w:pStyle w:val="ListParagraph"/>
        <w:numPr>
          <w:ilvl w:val="0"/>
          <w:numId w:val="2"/>
        </w:numPr>
        <w:spacing w:before="40" w:after="40"/>
      </w:pPr>
      <w:r>
        <w:rPr>
          <w:rFonts w:ascii="Arial" w:cs="Arial" w:eastAsia="Arial" w:hAnsi="Arial"/>
          <w:sz w:val="20"/>
          <w:szCs w:val="20"/>
        </w:rPr>
        <w:t xml:space="preserve">Coefficient on primary regressor</w:t>
      </w:r>
    </w:p>
    <w:p>
      <w:pPr>
        <w:pStyle w:val="ListParagraph"/>
        <w:numPr>
          <w:ilvl w:val="0"/>
          <w:numId w:val="2"/>
        </w:numPr>
        <w:spacing w:before="40" w:after="40"/>
      </w:pPr>
      <w:r>
        <w:rPr>
          <w:rFonts w:ascii="Arial" w:cs="Arial" w:eastAsia="Arial" w:hAnsi="Arial"/>
          <w:sz w:val="20"/>
          <w:szCs w:val="20"/>
        </w:rPr>
        <w:t xml:space="preserve">Wild bootstrap confidence interval (from boottest, not regression output)</w:t>
      </w:r>
    </w:p>
    <w:p>
      <w:pPr>
        <w:pStyle w:val="ListParagraph"/>
        <w:numPr>
          <w:ilvl w:val="0"/>
          <w:numId w:val="2"/>
        </w:numPr>
        <w:spacing w:before="40" w:after="40"/>
      </w:pPr>
      <w:r>
        <w:rPr>
          <w:rFonts w:ascii="Arial" w:cs="Arial" w:eastAsia="Arial" w:hAnsi="Arial"/>
          <w:sz w:val="20"/>
          <w:szCs w:val="20"/>
        </w:rPr>
        <w:t xml:space="preserve">Wild bootstrap p-value</w:t>
      </w:r>
    </w:p>
    <w:p>
      <w:pPr>
        <w:pStyle w:val="ListParagraph"/>
        <w:numPr>
          <w:ilvl w:val="0"/>
          <w:numId w:val="2"/>
        </w:numPr>
        <w:spacing w:before="40" w:after="40"/>
      </w:pPr>
      <w:r>
        <w:rPr>
          <w:rFonts w:ascii="Arial" w:cs="Arial" w:eastAsia="Arial" w:hAnsi="Arial"/>
          <w:sz w:val="20"/>
          <w:szCs w:val="20"/>
        </w:rPr>
        <w:t xml:space="preserve">N observations</w:t>
      </w:r>
    </w:p>
    <w:p>
      <w:pPr>
        <w:pStyle w:val="ListParagraph"/>
        <w:numPr>
          <w:ilvl w:val="0"/>
          <w:numId w:val="2"/>
        </w:numPr>
        <w:spacing w:before="40" w:after="40"/>
      </w:pPr>
      <w:r>
        <w:rPr>
          <w:rFonts w:ascii="Arial" w:cs="Arial" w:eastAsia="Arial" w:hAnsi="Arial"/>
          <w:sz w:val="20"/>
          <w:szCs w:val="20"/>
        </w:rPr>
        <w:t xml:space="preserve">BA fixed effects: Yes/No</w:t>
      </w:r>
    </w:p>
    <w:p>
      <w:pPr>
        <w:pStyle w:val="ListParagraph"/>
        <w:numPr>
          <w:ilvl w:val="0"/>
          <w:numId w:val="2"/>
        </w:numPr>
        <w:spacing w:before="40" w:after="40"/>
      </w:pPr>
      <w:r>
        <w:rPr>
          <w:rFonts w:ascii="Arial" w:cs="Arial" w:eastAsia="Arial" w:hAnsi="Arial"/>
          <w:sz w:val="20"/>
          <w:szCs w:val="20"/>
        </w:rPr>
        <w:t xml:space="preserve">Month-year fixed effects: Yes/No</w:t>
      </w:r>
    </w:p>
    <w:p>
      <w:pPr>
        <w:pStyle w:val="ListParagraph"/>
        <w:numPr>
          <w:ilvl w:val="0"/>
          <w:numId w:val="2"/>
        </w:numPr>
        <w:spacing w:before="40" w:after="40"/>
      </w:pPr>
      <w:r>
        <w:rPr>
          <w:rFonts w:ascii="Arial" w:cs="Arial" w:eastAsia="Arial" w:hAnsi="Arial"/>
          <w:sz w:val="20"/>
          <w:szCs w:val="20"/>
        </w:rPr>
        <w:t xml:space="preserve">Weather controls: Yes/No</w:t>
      </w:r>
    </w:p>
    <w:p>
      <w:pPr>
        <w:pStyle w:val="ListParagraph"/>
        <w:numPr>
          <w:ilvl w:val="0"/>
          <w:numId w:val="2"/>
        </w:numPr>
        <w:spacing w:before="40" w:after="40"/>
      </w:pPr>
      <w:r>
        <w:rPr>
          <w:rFonts w:ascii="Arial" w:cs="Arial" w:eastAsia="Arial" w:hAnsi="Arial"/>
          <w:sz w:val="20"/>
          <w:szCs w:val="20"/>
        </w:rPr>
        <w:t xml:space="preserve">GDP control: Yes/No</w:t>
      </w:r>
    </w:p>
    <w:p>
      <w:pPr>
        <w:pStyle w:val="ListParagraph"/>
        <w:numPr>
          <w:ilvl w:val="0"/>
          <w:numId w:val="2"/>
        </w:numPr>
        <w:spacing w:before="40" w:after="40"/>
      </w:pPr>
      <w:r>
        <w:rPr>
          <w:rFonts w:ascii="Arial" w:cs="Arial" w:eastAsia="Arial" w:hAnsi="Arial"/>
          <w:sz w:val="20"/>
          <w:szCs w:val="20"/>
        </w:rPr>
        <w:t xml:space="preserve">BA time trends: None / Linear / Quadratic</w:t>
      </w:r>
    </w:p>
    <w:p>
      <w:pPr>
        <w:pBdr>
          <w:bottom w:val="single" w:color="CCCCCC" w:sz="4" w:space="1"/>
        </w:pBdr>
        <w:spacing w:before="120" w:after="120"/>
      </w:pPr>
    </w:p>
    <w:p>
      <w:pPr>
        <w:pStyle w:val="Heading1"/>
        <w:spacing w:before="320" w:after="160"/>
      </w:pPr>
      <w:r>
        <w:rPr>
          <w:rFonts w:ascii="Arial" w:cs="Arial" w:eastAsia="Arial" w:hAnsi="Arial"/>
          <w:b/>
          <w:bCs/>
          <w:color w:val="2E4057"/>
          <w:sz w:val="32"/>
          <w:szCs w:val="32"/>
        </w:rPr>
        <w:t xml:space="preserve">5. Synthetic Control</w:t>
      </w:r>
    </w:p>
    <w:p>
      <w:pPr>
        <w:pStyle w:val="Heading2"/>
        <w:spacing w:before="240" w:after="120"/>
      </w:pPr>
      <w:r>
        <w:rPr>
          <w:rFonts w:ascii="Arial" w:cs="Arial" w:eastAsia="Arial" w:hAnsi="Arial"/>
          <w:b/>
          <w:bCs/>
          <w:color w:val="2E4057"/>
          <w:sz w:val="26"/>
          <w:szCs w:val="26"/>
        </w:rPr>
        <w:t xml:space="preserve">5.1 Design</w:t>
      </w:r>
    </w:p>
    <w:p>
      <w:pPr>
        <w:spacing w:before="8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4960"/>
      </w:tblGrid>
      <w:tr>
        <w:trPr>
          <w:tblHeader/>
        </w:trPr>
        <w:tc>
          <w:tcPr>
            <w:tcW w:type="dxa" w:w="20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18"/>
                <w:szCs w:val="18"/>
              </w:rPr>
              <w:t xml:space="preserve">Decision</w:t>
            </w:r>
          </w:p>
        </w:tc>
        <w:tc>
          <w:tcPr>
            <w:tcW w:type="dxa" w:w="24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18"/>
                <w:szCs w:val="18"/>
              </w:rPr>
              <w:t xml:space="preserve">Choice</w:t>
            </w:r>
          </w:p>
        </w:tc>
        <w:tc>
          <w:tcPr>
            <w:tcW w:type="dxa" w:w="49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18"/>
                <w:szCs w:val="18"/>
              </w:rPr>
              <w:t xml:space="preserve">Rationale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Treated unit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ERCOT (ERCO)</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The BA that diverged from PJM and MISO starting ~2022.</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Treatment date</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Bai-Perron break date</w:t>
            </w:r>
          </w:p>
        </w:tc>
        <w:tc>
          <w:tcPr>
            <w:tcW w:type="dxa" w:w="4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Set in Section 2.3. Fixed calendar date robustness check at 2022m1.</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Donor contamination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Acknowledged lower bound</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PJM and MISO received data center investment too. This biases the gap estimate downward. Synthetic control result is explicitly a lower bound.</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Pre-treatment fit</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RMSPE reported</w:t>
            </w:r>
          </w:p>
        </w:tc>
        <w:tc>
          <w:tcPr>
            <w:tcW w:type="dxa" w:w="4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Low RMSPE is the credibility credential. Poor pre-treatment fit = synthetic control is not credible, stated explicitly.</w:t>
            </w:r>
          </w:p>
        </w:tc>
      </w:tr>
    </w:tbl>
    <w:p>
      <w:pPr>
        <w:pStyle w:val="Heading2"/>
        <w:spacing w:before="240" w:after="120"/>
      </w:pPr>
      <w:r>
        <w:rPr>
          <w:rFonts w:ascii="Arial" w:cs="Arial" w:eastAsia="Arial" w:hAnsi="Arial"/>
          <w:b/>
          <w:bCs/>
          <w:color w:val="2E4057"/>
          <w:sz w:val="26"/>
          <w:szCs w:val="26"/>
        </w:rPr>
        <w:t xml:space="preserve">5.2 Donor Pool — Three Specifications</w:t>
      </w:r>
    </w:p>
    <w:p>
      <w:pPr>
        <w:spacing w:before="80" w:after="40"/>
      </w:pP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800"/>
        <w:gridCol w:w="3200"/>
        <w:gridCol w:w="3200"/>
        <w:gridCol w:w="800"/>
      </w:tblGrid>
      <w:tr>
        <w:trPr>
          <w:tblHeader/>
        </w:trPr>
        <w:tc>
          <w:tcPr>
            <w:tcW w:type="dxa" w:w="8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18"/>
                <w:szCs w:val="18"/>
              </w:rPr>
              <w:t xml:space="preserve">Step</w:t>
            </w:r>
          </w:p>
        </w:tc>
        <w:tc>
          <w:tcPr>
            <w:tcW w:type="dxa" w:w="32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18"/>
                <w:szCs w:val="18"/>
              </w:rPr>
              <w:t xml:space="preserve">Task</w:t>
            </w:r>
          </w:p>
        </w:tc>
        <w:tc>
          <w:tcPr>
            <w:tcW w:type="dxa" w:w="32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18"/>
                <w:szCs w:val="18"/>
              </w:rPr>
              <w:t xml:space="preserve">Method / Tool</w:t>
            </w:r>
          </w:p>
        </w:tc>
        <w:tc>
          <w:tcPr>
            <w:tcW w:type="dxa" w:w="8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18"/>
                <w:szCs w:val="18"/>
              </w:rPr>
              <w:t xml:space="preserve">Status</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SC-1</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PJM + MISO only</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Baseline, thin, contaminated — establishes lower bound</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Run first</w:t>
            </w:r>
          </w:p>
        </w:tc>
      </w:tr>
      <w:tr>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SC-2</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Full expanded pool</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All BAs below LBL queue filing threshold with sufficient EIA coverage</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Run second</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SC-3</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Low-exposure only</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PJM and MISO excluded — cleanest donor pool</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Run third</w:t>
            </w:r>
          </w:p>
        </w:tc>
      </w:tr>
    </w:tbl>
    <w:p>
      <w:pPr>
        <w:spacing w:before="80" w:after="40"/>
      </w:pPr>
    </w:p>
    <w:p>
      <w:pPr>
        <w:spacing w:before="80" w:after="80"/>
      </w:pPr>
      <w:r>
        <w:rPr>
          <w:rFonts w:ascii="Arial" w:cs="Arial" w:eastAsia="Arial" w:hAnsi="Arial"/>
          <w:sz w:val="20"/>
          <w:szCs w:val="20"/>
        </w:rPr>
        <w:t xml:space="preserve">Low-exposure classification: BAs where cumulative 100MW+ queue filings over 2019-2025 fall below a threshold, computed from LBL data. Same classification criterion as Layer 3 DiD — one decision serving double duty. Primary candidates: ISONE (strongest), NYISO, SPP.</w:t>
      </w:r>
    </w:p>
    <w:p>
      <w:pPr>
        <w:spacing w:before="60" w:after="40"/>
      </w:pPr>
    </w:p>
    <w:p>
      <w:pPr>
        <w:spacing w:before="80" w:after="80"/>
      </w:pPr>
      <w:r>
        <w:rPr>
          <w:rFonts w:ascii="Arial" w:cs="Arial" w:eastAsia="Arial" w:hAnsi="Arial"/>
          <w:sz w:val="20"/>
          <w:szCs w:val="20"/>
        </w:rPr>
        <w:t xml:space="preserve">If SC-1 &lt; SC-2 ≈ SC-3, contamination story is confirmed. Gap estimate is larger with clean donors.</w:t>
      </w:r>
    </w:p>
    <w:p>
      <w:pPr>
        <w:pStyle w:val="Heading2"/>
        <w:spacing w:before="240" w:after="120"/>
      </w:pPr>
      <w:r>
        <w:rPr>
          <w:rFonts w:ascii="Arial" w:cs="Arial" w:eastAsia="Arial" w:hAnsi="Arial"/>
          <w:b/>
          <w:bCs/>
          <w:color w:val="2E4057"/>
          <w:sz w:val="26"/>
          <w:szCs w:val="26"/>
        </w:rPr>
        <w:t xml:space="preserve">5.3 Inference — In-Space Placebo Tests</w:t>
      </w:r>
    </w:p>
    <w:p>
      <w:pPr>
        <w:pStyle w:val="ListParagraph"/>
        <w:numPr>
          <w:ilvl w:val="0"/>
          <w:numId w:val="2"/>
        </w:numPr>
        <w:spacing w:before="40" w:after="40"/>
      </w:pPr>
      <w:r>
        <w:rPr>
          <w:rFonts w:ascii="Arial" w:cs="Arial" w:eastAsia="Arial" w:hAnsi="Arial"/>
          <w:sz w:val="20"/>
          <w:szCs w:val="20"/>
        </w:rPr>
        <w:t xml:space="preserve">Treat each donor BA as if it were the treated unit</w:t>
      </w:r>
    </w:p>
    <w:p>
      <w:pPr>
        <w:pStyle w:val="ListParagraph"/>
        <w:numPr>
          <w:ilvl w:val="0"/>
          <w:numId w:val="2"/>
        </w:numPr>
        <w:spacing w:before="40" w:after="40"/>
      </w:pPr>
      <w:r>
        <w:rPr>
          <w:rFonts w:ascii="Arial" w:cs="Arial" w:eastAsia="Arial" w:hAnsi="Arial"/>
          <w:sz w:val="20"/>
          <w:szCs w:val="20"/>
        </w:rPr>
        <w:t xml:space="preserve">Construct synthetic version from remaining donors</w:t>
      </w:r>
    </w:p>
    <w:p>
      <w:pPr>
        <w:pStyle w:val="ListParagraph"/>
        <w:numPr>
          <w:ilvl w:val="0"/>
          <w:numId w:val="2"/>
        </w:numPr>
        <w:spacing w:before="40" w:after="40"/>
      </w:pPr>
      <w:r>
        <w:rPr>
          <w:rFonts w:ascii="Arial" w:cs="Arial" w:eastAsia="Arial" w:hAnsi="Arial"/>
          <w:sz w:val="20"/>
          <w:szCs w:val="20"/>
        </w:rPr>
        <w:t xml:space="preserve">Compute post-treatment gap for each placebo unit</w:t>
      </w:r>
    </w:p>
    <w:p>
      <w:pPr>
        <w:pStyle w:val="ListParagraph"/>
        <w:numPr>
          <w:ilvl w:val="0"/>
          <w:numId w:val="2"/>
        </w:numPr>
        <w:spacing w:before="40" w:after="40"/>
      </w:pPr>
      <w:r>
        <w:rPr>
          <w:rFonts w:ascii="Arial" w:cs="Arial" w:eastAsia="Arial" w:hAnsi="Arial"/>
          <w:sz w:val="20"/>
          <w:szCs w:val="20"/>
        </w:rPr>
        <w:t xml:space="preserve">P-value = fraction of placebos with gap as large as ERCOT's</w:t>
      </w:r>
    </w:p>
    <w:p>
      <w:pPr>
        <w:pStyle w:val="ListParagraph"/>
        <w:numPr>
          <w:ilvl w:val="0"/>
          <w:numId w:val="2"/>
        </w:numPr>
        <w:spacing w:before="40" w:after="40"/>
      </w:pPr>
      <w:r>
        <w:rPr>
          <w:rFonts w:ascii="Arial" w:cs="Arial" w:eastAsia="Arial" w:hAnsi="Arial"/>
          <w:sz w:val="20"/>
          <w:szCs w:val="20"/>
        </w:rPr>
        <w:t xml:space="preserve">Minimum p-value with 3 BAs total = 1/3 ≈ 0.33. Reported explicitly.</w:t>
      </w:r>
    </w:p>
    <w:p>
      <w:pPr>
        <w:pStyle w:val="ListParagraph"/>
        <w:numPr>
          <w:ilvl w:val="0"/>
          <w:numId w:val="2"/>
        </w:numPr>
        <w:spacing w:before="40" w:after="40"/>
      </w:pPr>
      <w:r>
        <w:rPr>
          <w:rFonts w:ascii="Arial" w:cs="Arial" w:eastAsia="Arial" w:hAnsi="Arial"/>
          <w:sz w:val="20"/>
          <w:szCs w:val="20"/>
        </w:rPr>
        <w:t xml:space="preserve">Exclude placebos where pre-treatment RMSPE &gt; 2x ERCOT's RMSPE</w:t>
      </w:r>
    </w:p>
    <w:p>
      <w:pPr>
        <w:pStyle w:val="ListParagraph"/>
        <w:numPr>
          <w:ilvl w:val="0"/>
          <w:numId w:val="2"/>
        </w:numPr>
        <w:spacing w:before="40" w:after="40"/>
      </w:pPr>
      <w:r>
        <w:rPr>
          <w:rFonts w:ascii="Arial" w:cs="Arial" w:eastAsia="Arial" w:hAnsi="Arial"/>
          <w:sz w:val="20"/>
          <w:szCs w:val="20"/>
        </w:rPr>
        <w:t xml:space="preserve">Donor pool expansion improves inferential resolution: 10 donors gives minimum p-value of ~0.09</w:t>
      </w:r>
    </w:p>
    <w:p>
      <w:pPr>
        <w:pStyle w:val="Heading2"/>
        <w:spacing w:before="240" w:after="120"/>
      </w:pPr>
      <w:r>
        <w:rPr>
          <w:rFonts w:ascii="Arial" w:cs="Arial" w:eastAsia="Arial" w:hAnsi="Arial"/>
          <w:b/>
          <w:bCs/>
          <w:color w:val="2E4057"/>
          <w:sz w:val="26"/>
          <w:szCs w:val="26"/>
        </w:rPr>
        <w:t xml:space="preserve">5.4 Main Figure — Three Layers</w:t>
      </w:r>
    </w:p>
    <w:p>
      <w:pPr>
        <w:pStyle w:val="ListParagraph"/>
        <w:numPr>
          <w:ilvl w:val="0"/>
          <w:numId w:val="2"/>
        </w:numPr>
        <w:spacing w:before="40" w:after="40"/>
      </w:pPr>
      <w:r>
        <w:rPr>
          <w:rFonts w:ascii="Arial" w:cs="Arial" w:eastAsia="Arial" w:hAnsi="Arial"/>
          <w:sz w:val="20"/>
          <w:szCs w:val="20"/>
        </w:rPr>
        <w:t xml:space="preserve">Layer 1: Actual vs. synthetic ERCOT demand, 2019 through 2025. Vertical line at Bai-Perron break date.</w:t>
      </w:r>
    </w:p>
    <w:p>
      <w:pPr>
        <w:pStyle w:val="ListParagraph"/>
        <w:numPr>
          <w:ilvl w:val="0"/>
          <w:numId w:val="2"/>
        </w:numPr>
        <w:spacing w:before="40" w:after="40"/>
      </w:pPr>
      <w:r>
        <w:rPr>
          <w:rFonts w:ascii="Arial" w:cs="Arial" w:eastAsia="Arial" w:hAnsi="Arial"/>
          <w:sz w:val="20"/>
          <w:szCs w:val="20"/>
        </w:rPr>
        <w:t xml:space="preserve">Layer 2: All placebo gaps in gray, ERCOT gap in black. Excluded placebos shown with different line style.</w:t>
      </w:r>
    </w:p>
    <w:p>
      <w:pPr>
        <w:pStyle w:val="ListParagraph"/>
        <w:numPr>
          <w:ilvl w:val="0"/>
          <w:numId w:val="2"/>
        </w:numPr>
        <w:spacing w:before="40" w:after="40"/>
      </w:pPr>
      <w:r>
        <w:rPr>
          <w:rFonts w:ascii="Arial" w:cs="Arial" w:eastAsia="Arial" w:hAnsi="Arial"/>
          <w:sz w:val="20"/>
          <w:szCs w:val="20"/>
        </w:rPr>
        <w:t xml:space="preserve">Layer 3: ERCOT gap with vertical markers at known large data center energization dates.</w:t>
      </w:r>
    </w:p>
    <w:p>
      <w:pPr>
        <w:spacing w:before="60" w:after="40"/>
      </w:pPr>
    </w:p>
    <w:p>
      <w:pPr>
        <w:spacing w:before="80" w:after="80"/>
        <w:ind w:left="360"/>
      </w:pPr>
      <w:r>
        <w:rPr>
          <w:rFonts w:ascii="Arial" w:cs="Arial" w:eastAsia="Arial" w:hAnsi="Arial"/>
          <w:b/>
          <w:bCs/>
          <w:color w:val="666666"/>
          <w:sz w:val="20"/>
          <w:szCs w:val="20"/>
        </w:rPr>
        <w:t xml:space="preserve">Note: </w:t>
      </w:r>
      <w:r>
        <w:rPr>
          <w:rFonts w:ascii="Arial" w:cs="Arial" w:eastAsia="Arial" w:hAnsi="Arial"/>
          <w:i/>
          <w:iCs/>
          <w:color w:val="666666"/>
          <w:sz w:val="20"/>
          <w:szCs w:val="20"/>
        </w:rPr>
        <w:t xml:space="preserve">Vertical axis in MW or MWh, not percentage. Absolute units are more interpretable for a policy audience and map directly to grid planning questions.</w:t>
      </w:r>
    </w:p>
    <w:p>
      <w:pPr>
        <w:pBdr>
          <w:bottom w:val="single" w:color="CCCCCC" w:sz="4" w:space="1"/>
        </w:pBdr>
        <w:spacing w:before="120" w:after="120"/>
      </w:pPr>
    </w:p>
    <w:p>
      <w:pPr>
        <w:pStyle w:val="Heading1"/>
        <w:spacing w:before="320" w:after="160"/>
      </w:pPr>
      <w:r>
        <w:rPr>
          <w:rFonts w:ascii="Arial" w:cs="Arial" w:eastAsia="Arial" w:hAnsi="Arial"/>
          <w:b/>
          <w:bCs/>
          <w:color w:val="2E4057"/>
          <w:sz w:val="32"/>
          <w:szCs w:val="32"/>
        </w:rPr>
        <w:t xml:space="preserve">6. DiD With Low-Exposure Controls</w:t>
      </w:r>
    </w:p>
    <w:p>
      <w:pPr>
        <w:pStyle w:val="Heading2"/>
        <w:spacing w:before="240" w:after="120"/>
      </w:pPr>
      <w:r>
        <w:rPr>
          <w:rFonts w:ascii="Arial" w:cs="Arial" w:eastAsia="Arial" w:hAnsi="Arial"/>
          <w:b/>
          <w:bCs/>
          <w:color w:val="2E4057"/>
          <w:sz w:val="26"/>
          <w:szCs w:val="26"/>
        </w:rPr>
        <w:t xml:space="preserve">6.1 Design</w:t>
      </w:r>
    </w:p>
    <w:p>
      <w:pPr>
        <w:spacing w:before="80" w:after="80"/>
      </w:pPr>
      <w:r>
        <w:rPr>
          <w:rFonts w:ascii="Arial" w:cs="Arial" w:eastAsia="Arial" w:hAnsi="Arial"/>
          <w:sz w:val="20"/>
          <w:szCs w:val="20"/>
        </w:rPr>
        <w:t xml:space="preserve">Treated unit: ERCOT. Control units: BAs classified as low-exposure using cumulative 100MW+ queue filings from LBL data. Same classification threshold as synthetic control donor pool — one decision, used in both places.</w:t>
      </w:r>
    </w:p>
    <w:p>
      <w:pPr>
        <w:spacing w:before="80" w:after="40"/>
      </w:pPr>
    </w:p>
    <w:p>
      <w:pPr>
        <w:pStyle w:val="ListParagraph"/>
        <w:numPr>
          <w:ilvl w:val="0"/>
          <w:numId w:val="2"/>
        </w:numPr>
        <w:spacing w:before="40" w:after="40"/>
      </w:pPr>
      <w:r>
        <w:rPr>
          <w:rFonts w:ascii="Arial" w:cs="Arial" w:eastAsia="Arial" w:hAnsi="Arial"/>
          <w:sz w:val="20"/>
          <w:szCs w:val="20"/>
        </w:rPr>
        <w:t xml:space="preserve">Treatment date: same as synthetic control Bai-Perron date</w:t>
      </w:r>
    </w:p>
    <w:p>
      <w:pPr>
        <w:pStyle w:val="ListParagraph"/>
        <w:numPr>
          <w:ilvl w:val="0"/>
          <w:numId w:val="2"/>
        </w:numPr>
        <w:spacing w:before="40" w:after="40"/>
      </w:pPr>
      <w:r>
        <w:rPr>
          <w:rFonts w:ascii="Arial" w:cs="Arial" w:eastAsia="Arial" w:hAnsi="Arial"/>
          <w:sz w:val="20"/>
          <w:szCs w:val="20"/>
        </w:rPr>
        <w:t xml:space="preserve">Primary candidates for controls: ISONE, NYISO, SPP</w:t>
      </w:r>
    </w:p>
    <w:p>
      <w:pPr>
        <w:pStyle w:val="ListParagraph"/>
        <w:numPr>
          <w:ilvl w:val="0"/>
          <w:numId w:val="2"/>
        </w:numPr>
        <w:spacing w:before="40" w:after="40"/>
      </w:pPr>
      <w:r>
        <w:rPr>
          <w:rFonts w:ascii="Arial" w:cs="Arial" w:eastAsia="Arial" w:hAnsi="Arial"/>
          <w:sz w:val="20"/>
          <w:szCs w:val="20"/>
        </w:rPr>
        <w:t xml:space="preserve">Inference: wild cluster bootstrap, minimum p-value determined by number of clusters</w:t>
      </w:r>
    </w:p>
    <w:p>
      <w:pPr>
        <w:pStyle w:val="ListParagraph"/>
        <w:numPr>
          <w:ilvl w:val="0"/>
          <w:numId w:val="2"/>
        </w:numPr>
        <w:spacing w:before="40" w:after="40"/>
      </w:pPr>
      <w:r>
        <w:rPr>
          <w:rFonts w:ascii="Arial" w:cs="Arial" w:eastAsia="Arial" w:hAnsi="Arial"/>
          <w:sz w:val="20"/>
          <w:szCs w:val="20"/>
        </w:rPr>
        <w:t xml:space="preserve">Expected result: coefficient sits above synthetic control gap — confirms contamination lower bound story</w:t>
      </w:r>
    </w:p>
    <w:p>
      <w:pPr>
        <w:pStyle w:val="ListParagraph"/>
        <w:numPr>
          <w:ilvl w:val="0"/>
          <w:numId w:val="2"/>
        </w:numPr>
        <w:spacing w:before="40" w:after="40"/>
      </w:pPr>
      <w:r>
        <w:rPr>
          <w:rFonts w:ascii="Arial" w:cs="Arial" w:eastAsia="Arial" w:hAnsi="Arial"/>
          <w:sz w:val="20"/>
          <w:szCs w:val="20"/>
        </w:rPr>
        <w:t xml:space="preserve">This is Layer 3 of the identification strategy — the least contaminated comparison</w:t>
      </w:r>
    </w:p>
    <w:p>
      <w:pPr>
        <w:pStyle w:val="Heading2"/>
        <w:spacing w:before="240" w:after="120"/>
      </w:pPr>
      <w:r>
        <w:rPr>
          <w:rFonts w:ascii="Arial" w:cs="Arial" w:eastAsia="Arial" w:hAnsi="Arial"/>
          <w:b/>
          <w:bCs/>
          <w:color w:val="2E4057"/>
          <w:sz w:val="26"/>
          <w:szCs w:val="26"/>
        </w:rPr>
        <w:t xml:space="preserve">6.2 Why This Adds Something</w:t>
      </w:r>
    </w:p>
    <w:p>
      <w:pPr>
        <w:spacing w:before="80" w:after="80"/>
      </w:pPr>
      <w:r>
        <w:rPr>
          <w:rFonts w:ascii="Arial" w:cs="Arial" w:eastAsia="Arial" w:hAnsi="Arial"/>
          <w:sz w:val="20"/>
          <w:szCs w:val="20"/>
        </w:rPr>
        <w:t xml:space="preserve">PJM and MISO in the synthetic control are contaminated donors — they received real data center investment. Low-exposure BAs did not. Using genuinely untreated controls removes the contamination bias. If the DiD estimate with clean controls sits above the synthetic control estimate, that ordering is itself evidence that contamination was suppressing the synthetic control gap.</w:t>
      </w:r>
    </w:p>
    <w:p>
      <w:pPr>
        <w:pBdr>
          <w:bottom w:val="single" w:color="CCCCCC" w:sz="4" w:space="1"/>
        </w:pBdr>
        <w:spacing w:before="120" w:after="120"/>
      </w:pPr>
    </w:p>
    <w:p>
      <w:pPr>
        <w:pStyle w:val="Heading1"/>
        <w:spacing w:before="320" w:after="160"/>
      </w:pPr>
      <w:r>
        <w:rPr>
          <w:rFonts w:ascii="Arial" w:cs="Arial" w:eastAsia="Arial" w:hAnsi="Arial"/>
          <w:b/>
          <w:bCs/>
          <w:color w:val="2E4057"/>
          <w:sz w:val="32"/>
          <w:szCs w:val="32"/>
        </w:rPr>
        <w:t xml:space="preserve">7. Inference Summary</w:t>
      </w:r>
    </w:p>
    <w:p>
      <w:pPr>
        <w:spacing w:before="8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4960"/>
      </w:tblGrid>
      <w:tr>
        <w:trPr>
          <w:tblHeader/>
        </w:trPr>
        <w:tc>
          <w:tcPr>
            <w:tcW w:type="dxa" w:w="20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18"/>
                <w:szCs w:val="18"/>
              </w:rPr>
              <w:t xml:space="preserve">Decision</w:t>
            </w:r>
          </w:p>
        </w:tc>
        <w:tc>
          <w:tcPr>
            <w:tcW w:type="dxa" w:w="24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18"/>
                <w:szCs w:val="18"/>
              </w:rPr>
              <w:t xml:space="preserve">Choice</w:t>
            </w:r>
          </w:p>
        </w:tc>
        <w:tc>
          <w:tcPr>
            <w:tcW w:type="dxa" w:w="49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18"/>
                <w:szCs w:val="18"/>
              </w:rPr>
              <w:t xml:space="preserve">Rationale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Panel regression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Wild cluster bootstrap (boottest)</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3 clusters. Full enumeration of all 8 sign combinations. Minimum p-value = 0.125. Reported explicitly.</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Permutation inference</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Not used for regression</w:t>
            </w:r>
          </w:p>
        </w:tc>
        <w:tc>
          <w:tcPr>
            <w:tcW w:type="dxa" w:w="4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Minimum p-value with 3 BAs = 1/6 = 0.167 — worse than wild bootstrap. Reserved for synthetic control only.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Synthetic control</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In-space placebo tests</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Permutation inference. Minimum p-value with 3 BAs = 1/3 = 0.33. Donor pool expansion improves resolution.</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DiD with clean controls</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Wild cluster bootstrap</w:t>
            </w:r>
          </w:p>
        </w:tc>
        <w:tc>
          <w:tcPr>
            <w:tcW w:type="dxa" w:w="4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Minimum p-value depends on number of low-exposure BAs added as controls.</w:t>
            </w:r>
          </w:p>
        </w:tc>
      </w:tr>
    </w:tbl>
    <w:p>
      <w:pPr>
        <w:spacing w:before="120" w:after="80"/>
      </w:pPr>
    </w:p>
    <w:p>
      <w:pPr>
        <w:spacing w:before="80" w:after="80"/>
      </w:pPr>
      <w:r>
        <w:rPr>
          <w:rFonts w:ascii="Arial" w:cs="Arial" w:eastAsia="Arial" w:hAnsi="Arial"/>
          <w:sz w:val="20"/>
          <w:szCs w:val="20"/>
        </w:rPr>
        <w:t xml:space="preserve">Conventional significance thresholds (p &lt; 0.05, p &lt; 0.10) are not achievable with 3 units under honest inference. This is reported as a finding demonstrating methodological sophistication, not hidden. Coefficient stability across specifications is the primary evidence.</w:t>
      </w:r>
    </w:p>
    <w:p>
      <w:pPr>
        <w:pBdr>
          <w:bottom w:val="single" w:color="CCCCCC" w:sz="4" w:space="1"/>
        </w:pBdr>
        <w:spacing w:before="120" w:after="120"/>
      </w:pPr>
    </w:p>
    <w:p>
      <w:pPr>
        <w:pStyle w:val="Heading1"/>
        <w:spacing w:before="320" w:after="160"/>
      </w:pPr>
      <w:r>
        <w:rPr>
          <w:rFonts w:ascii="Arial" w:cs="Arial" w:eastAsia="Arial" w:hAnsi="Arial"/>
          <w:b/>
          <w:bCs/>
          <w:color w:val="2E4057"/>
          <w:sz w:val="32"/>
          <w:szCs w:val="32"/>
        </w:rPr>
        <w:t xml:space="preserve">8. Coefficient Interpretation Language</w:t>
      </w:r>
    </w:p>
    <w:p>
      <w:pPr>
        <w:pStyle w:val="Heading2"/>
        <w:spacing w:before="240" w:after="120"/>
      </w:pPr>
      <w:r>
        <w:rPr>
          <w:rFonts w:ascii="Arial" w:cs="Arial" w:eastAsia="Arial" w:hAnsi="Arial"/>
          <w:b/>
          <w:bCs/>
          <w:color w:val="2E4057"/>
          <w:sz w:val="26"/>
          <w:szCs w:val="26"/>
        </w:rPr>
        <w:t xml:space="preserve">8.1 Banned Words</w:t>
      </w:r>
    </w:p>
    <w:p>
      <w:pPr>
        <w:pStyle w:val="ListParagraph"/>
        <w:numPr>
          <w:ilvl w:val="0"/>
          <w:numId w:val="2"/>
        </w:numPr>
        <w:spacing w:before="40" w:after="40"/>
      </w:pPr>
      <w:r>
        <w:rPr>
          <w:rFonts w:ascii="Arial" w:cs="Arial" w:eastAsia="Arial" w:hAnsi="Arial"/>
          <w:sz w:val="20"/>
          <w:szCs w:val="20"/>
        </w:rPr>
        <w:t xml:space="preserve">effect — implies causation</w:t>
      </w:r>
    </w:p>
    <w:p>
      <w:pPr>
        <w:pStyle w:val="ListParagraph"/>
        <w:numPr>
          <w:ilvl w:val="0"/>
          <w:numId w:val="2"/>
        </w:numPr>
        <w:spacing w:before="40" w:after="40"/>
      </w:pPr>
      <w:r>
        <w:rPr>
          <w:rFonts w:ascii="Arial" w:cs="Arial" w:eastAsia="Arial" w:hAnsi="Arial"/>
          <w:sz w:val="20"/>
          <w:szCs w:val="20"/>
        </w:rPr>
        <w:t xml:space="preserve">impact — implies causation</w:t>
      </w:r>
    </w:p>
    <w:p>
      <w:pPr>
        <w:pStyle w:val="ListParagraph"/>
        <w:numPr>
          <w:ilvl w:val="0"/>
          <w:numId w:val="2"/>
        </w:numPr>
        <w:spacing w:before="40" w:after="40"/>
      </w:pPr>
      <w:r>
        <w:rPr>
          <w:rFonts w:ascii="Arial" w:cs="Arial" w:eastAsia="Arial" w:hAnsi="Arial"/>
          <w:sz w:val="20"/>
          <w:szCs w:val="20"/>
        </w:rPr>
        <w:t xml:space="preserve">causes — obviously ruled out</w:t>
      </w:r>
    </w:p>
    <w:p>
      <w:pPr>
        <w:pStyle w:val="ListParagraph"/>
        <w:numPr>
          <w:ilvl w:val="0"/>
          <w:numId w:val="2"/>
        </w:numPr>
        <w:spacing w:before="40" w:after="40"/>
      </w:pPr>
      <w:r>
        <w:rPr>
          <w:rFonts w:ascii="Arial" w:cs="Arial" w:eastAsia="Arial" w:hAnsi="Arial"/>
          <w:sz w:val="20"/>
          <w:szCs w:val="20"/>
        </w:rPr>
        <w:t xml:space="preserve">driven by — causal language</w:t>
      </w:r>
    </w:p>
    <w:p>
      <w:pPr>
        <w:pStyle w:val="ListParagraph"/>
        <w:numPr>
          <w:ilvl w:val="0"/>
          <w:numId w:val="2"/>
        </w:numPr>
        <w:spacing w:before="40" w:after="40"/>
      </w:pPr>
      <w:r>
        <w:rPr>
          <w:rFonts w:ascii="Arial" w:cs="Arial" w:eastAsia="Arial" w:hAnsi="Arial"/>
          <w:sz w:val="20"/>
          <w:szCs w:val="20"/>
        </w:rPr>
        <w:t xml:space="preserve">due to — causal language</w:t>
      </w:r>
    </w:p>
    <w:p>
      <w:pPr>
        <w:pStyle w:val="Heading2"/>
        <w:spacing w:before="240" w:after="120"/>
      </w:pPr>
      <w:r>
        <w:rPr>
          <w:rFonts w:ascii="Arial" w:cs="Arial" w:eastAsia="Arial" w:hAnsi="Arial"/>
          <w:b/>
          <w:bCs/>
          <w:color w:val="2E4057"/>
          <w:sz w:val="26"/>
          <w:szCs w:val="26"/>
        </w:rPr>
        <w:t xml:space="preserve">8.2 Required Words</w:t>
      </w:r>
    </w:p>
    <w:p>
      <w:pPr>
        <w:pStyle w:val="ListParagraph"/>
        <w:numPr>
          <w:ilvl w:val="0"/>
          <w:numId w:val="2"/>
        </w:numPr>
        <w:spacing w:before="40" w:after="40"/>
      </w:pPr>
      <w:r>
        <w:rPr>
          <w:rFonts w:ascii="Arial" w:cs="Arial" w:eastAsia="Arial" w:hAnsi="Arial"/>
          <w:sz w:val="20"/>
          <w:szCs w:val="20"/>
        </w:rPr>
        <w:t xml:space="preserve">associated with — standard term for conditional correlation</w:t>
      </w:r>
    </w:p>
    <w:p>
      <w:pPr>
        <w:pStyle w:val="ListParagraph"/>
        <w:numPr>
          <w:ilvl w:val="0"/>
          <w:numId w:val="2"/>
        </w:numPr>
        <w:spacing w:before="40" w:after="40"/>
      </w:pPr>
      <w:r>
        <w:rPr>
          <w:rFonts w:ascii="Arial" w:cs="Arial" w:eastAsia="Arial" w:hAnsi="Arial"/>
          <w:sz w:val="20"/>
          <w:szCs w:val="20"/>
        </w:rPr>
        <w:t xml:space="preserve">corresponds to — useful for describing coefficient magnitude</w:t>
      </w:r>
    </w:p>
    <w:p>
      <w:pPr>
        <w:pStyle w:val="ListParagraph"/>
        <w:numPr>
          <w:ilvl w:val="0"/>
          <w:numId w:val="2"/>
        </w:numPr>
        <w:spacing w:before="40" w:after="40"/>
      </w:pPr>
      <w:r>
        <w:rPr>
          <w:rFonts w:ascii="Arial" w:cs="Arial" w:eastAsia="Arial" w:hAnsi="Arial"/>
          <w:sz w:val="20"/>
          <w:szCs w:val="20"/>
        </w:rPr>
        <w:t xml:space="preserve">predicts — appropriate in forecasting context only</w:t>
      </w:r>
    </w:p>
    <w:p>
      <w:pPr>
        <w:pStyle w:val="ListParagraph"/>
        <w:numPr>
          <w:ilvl w:val="0"/>
          <w:numId w:val="2"/>
        </w:numPr>
        <w:spacing w:before="40" w:after="40"/>
      </w:pPr>
      <w:r>
        <w:rPr>
          <w:rFonts w:ascii="Arial" w:cs="Arial" w:eastAsia="Arial" w:hAnsi="Arial"/>
          <w:sz w:val="20"/>
          <w:szCs w:val="20"/>
        </w:rPr>
        <w:t xml:space="preserve">is consistent with — for describing alignment with theory</w:t>
      </w:r>
    </w:p>
    <w:p>
      <w:pPr>
        <w:pStyle w:val="Heading2"/>
        <w:spacing w:before="240" w:after="120"/>
      </w:pPr>
      <w:r>
        <w:rPr>
          <w:rFonts w:ascii="Arial" w:cs="Arial" w:eastAsia="Arial" w:hAnsi="Arial"/>
          <w:b/>
          <w:bCs/>
          <w:color w:val="2E4057"/>
          <w:sz w:val="26"/>
          <w:szCs w:val="26"/>
        </w:rPr>
        <w:t xml:space="preserve">8.3 Template Interpretation Sentence</w:t>
      </w:r>
    </w:p>
    <w:p>
      <w:pPr>
        <w:spacing w:before="80" w:after="80"/>
        <w:ind w:left="360"/>
      </w:pPr>
      <w:r>
        <w:rPr>
          <w:rFonts w:ascii="Arial" w:cs="Arial" w:eastAsia="Arial" w:hAnsi="Arial"/>
          <w:i/>
          <w:iCs/>
          <w:color w:val="333333"/>
          <w:sz w:val="20"/>
          <w:szCs w:val="20"/>
        </w:rPr>
        <w:t xml:space="preserve">"A 1,000 MW increase in 100MW+ queue filings in month t is associated with a [B] MWh increase in monthly average hourly demand in month t+18, conditional on balancing authority fixed effects, common time shocks, and weather and GDP controls."</w:t>
      </w:r>
    </w:p>
    <w:p>
      <w:pPr>
        <w:spacing w:before="80" w:after="80"/>
      </w:pPr>
      <w:r>
        <w:rPr>
          <w:rFonts w:ascii="Arial" w:cs="Arial" w:eastAsia="Arial" w:hAnsi="Arial"/>
          <w:sz w:val="20"/>
          <w:szCs w:val="20"/>
        </w:rPr>
        <w:t xml:space="preserve">Immediately follow with:</w:t>
      </w:r>
    </w:p>
    <w:p>
      <w:pPr>
        <w:spacing w:before="80" w:after="80"/>
        <w:ind w:left="360"/>
      </w:pPr>
      <w:r>
        <w:rPr>
          <w:rFonts w:ascii="Arial" w:cs="Arial" w:eastAsia="Arial" w:hAnsi="Arial"/>
          <w:i/>
          <w:iCs/>
          <w:color w:val="333333"/>
          <w:sz w:val="20"/>
          <w:szCs w:val="20"/>
        </w:rPr>
        <w:t xml:space="preserve">"This estimate reflects within-balancing-authority covariation between lagged queue filings and demand after removing common time trends and BA-level fixed differences. It cannot be interpreted as a causal effect because queue filings are correlated with unobserved regional economic conditions that independently drive demand growth."</w:t>
      </w:r>
    </w:p>
    <w:p>
      <w:pPr>
        <w:spacing w:before="80" w:after="80"/>
        <w:ind w:left="360"/>
      </w:pPr>
      <w:r>
        <w:rPr>
          <w:rFonts w:ascii="Arial" w:cs="Arial" w:eastAsia="Arial" w:hAnsi="Arial"/>
          <w:b/>
          <w:bCs/>
          <w:color w:val="666666"/>
          <w:sz w:val="20"/>
          <w:szCs w:val="20"/>
        </w:rPr>
        <w:t xml:space="preserve">Note: </w:t>
      </w:r>
      <w:r>
        <w:rPr>
          <w:rFonts w:ascii="Arial" w:cs="Arial" w:eastAsia="Arial" w:hAnsi="Arial"/>
          <w:i/>
          <w:iCs/>
          <w:color w:val="666666"/>
          <w:sz w:val="20"/>
          <w:szCs w:val="20"/>
        </w:rPr>
        <w:t xml:space="preserve">State this two-sentence structure once, cleanly. Do not repeat the identification disclaimer throughout the paper.</w:t>
      </w:r>
    </w:p>
    <w:p>
      <w:pPr>
        <w:pBdr>
          <w:bottom w:val="single" w:color="CCCCCC" w:sz="4" w:space="1"/>
        </w:pBdr>
        <w:spacing w:before="120" w:after="120"/>
      </w:pPr>
    </w:p>
    <w:p>
      <w:pPr>
        <w:pStyle w:val="Heading1"/>
        <w:spacing w:before="320" w:after="160"/>
      </w:pPr>
      <w:r>
        <w:rPr>
          <w:rFonts w:ascii="Arial" w:cs="Arial" w:eastAsia="Arial" w:hAnsi="Arial"/>
          <w:b/>
          <w:bCs/>
          <w:color w:val="2E4057"/>
          <w:sz w:val="32"/>
          <w:szCs w:val="32"/>
        </w:rPr>
        <w:t xml:space="preserve">9. Data Gap — Framing</w:t>
      </w:r>
    </w:p>
    <w:p>
      <w:pPr>
        <w:spacing w:before="80" w:after="80"/>
      </w:pPr>
      <w:r>
        <w:rPr>
          <w:rFonts w:ascii="Arial" w:cs="Arial" w:eastAsia="Arial" w:hAnsi="Arial"/>
          <w:sz w:val="20"/>
          <w:szCs w:val="20"/>
        </w:rPr>
        <w:t xml:space="preserve">The data gap is a finding, not a limitation. It lives in the Data section of the paper, not the Limitations section. Five paragraphs:</w:t>
      </w:r>
    </w:p>
    <w:p>
      <w:pPr>
        <w:spacing w:before="80" w:after="40"/>
      </w:pPr>
    </w:p>
    <w:p>
      <w:pPr>
        <w:pStyle w:val="ListParagraph"/>
        <w:numPr>
          <w:ilvl w:val="0"/>
          <w:numId w:val="2"/>
        </w:numPr>
        <w:spacing w:before="40" w:after="40"/>
      </w:pPr>
      <w:r>
        <w:rPr>
          <w:rFonts w:ascii="Arial" w:cs="Arial" w:eastAsia="Arial" w:hAnsi="Arial"/>
          <w:b/>
          <w:bCs/>
          <w:sz w:val="20"/>
          <w:szCs w:val="20"/>
        </w:rPr>
        <w:t xml:space="preserve">What you looked for and where. </w:t>
      </w:r>
      <w:r>
        <w:rPr>
          <w:rFonts w:ascii="Arial" w:cs="Arial" w:eastAsia="Arial" w:hAnsi="Arial"/>
          <w:sz w:val="20"/>
          <w:szCs w:val="20"/>
        </w:rPr>
        <w:t xml:space="preserve">Paragraph 1</w:t>
      </w:r>
    </w:p>
    <w:p>
      <w:pPr>
        <w:pStyle w:val="ListParagraph"/>
        <w:numPr>
          <w:ilvl w:val="0"/>
          <w:numId w:val="2"/>
        </w:numPr>
        <w:spacing w:before="40" w:after="40"/>
      </w:pPr>
      <w:r>
        <w:rPr>
          <w:rFonts w:ascii="Arial" w:cs="Arial" w:eastAsia="Arial" w:hAnsi="Arial"/>
          <w:b/>
          <w:bCs/>
          <w:sz w:val="20"/>
          <w:szCs w:val="20"/>
        </w:rPr>
        <w:t xml:space="preserve">What exists and why it is insufficient. </w:t>
      </w:r>
      <w:r>
        <w:rPr>
          <w:rFonts w:ascii="Arial" w:cs="Arial" w:eastAsia="Arial" w:hAnsi="Arial"/>
          <w:sz w:val="20"/>
          <w:szCs w:val="20"/>
        </w:rPr>
        <w:t xml:space="preserve">Paragraph 2</w:t>
      </w:r>
    </w:p>
    <w:p>
      <w:pPr>
        <w:pStyle w:val="ListParagraph"/>
        <w:numPr>
          <w:ilvl w:val="0"/>
          <w:numId w:val="2"/>
        </w:numPr>
        <w:spacing w:before="40" w:after="40"/>
      </w:pPr>
      <w:r>
        <w:rPr>
          <w:rFonts w:ascii="Arial" w:cs="Arial" w:eastAsia="Arial" w:hAnsi="Arial"/>
          <w:b/>
          <w:bCs/>
          <w:sz w:val="20"/>
          <w:szCs w:val="20"/>
        </w:rPr>
        <w:t xml:space="preserve">Why this matters beyond your paper — 70% of U.S. load, fastest investment period in history. </w:t>
      </w:r>
      <w:r>
        <w:rPr>
          <w:rFonts w:ascii="Arial" w:cs="Arial" w:eastAsia="Arial" w:hAnsi="Arial"/>
          <w:sz w:val="20"/>
          <w:szCs w:val="20"/>
        </w:rPr>
        <w:t xml:space="preserve">Paragraph 3</w:t>
      </w:r>
    </w:p>
    <w:p>
      <w:pPr>
        <w:pStyle w:val="ListParagraph"/>
        <w:numPr>
          <w:ilvl w:val="0"/>
          <w:numId w:val="2"/>
        </w:numPr>
        <w:spacing w:before="40" w:after="40"/>
      </w:pPr>
      <w:r>
        <w:rPr>
          <w:rFonts w:ascii="Arial" w:cs="Arial" w:eastAsia="Arial" w:hAnsi="Arial"/>
          <w:b/>
          <w:bCs/>
          <w:sz w:val="20"/>
          <w:szCs w:val="20"/>
        </w:rPr>
        <w:t xml:space="preserve">What the data would look like and what it would enable — specific policy ask. </w:t>
      </w:r>
      <w:r>
        <w:rPr>
          <w:rFonts w:ascii="Arial" w:cs="Arial" w:eastAsia="Arial" w:hAnsi="Arial"/>
          <w:sz w:val="20"/>
          <w:szCs w:val="20"/>
        </w:rPr>
        <w:t xml:space="preserve">Paragraph 4</w:t>
      </w:r>
    </w:p>
    <w:p>
      <w:pPr>
        <w:pStyle w:val="ListParagraph"/>
        <w:numPr>
          <w:ilvl w:val="0"/>
          <w:numId w:val="2"/>
        </w:numPr>
        <w:spacing w:before="40" w:after="40"/>
      </w:pPr>
      <w:r>
        <w:rPr>
          <w:rFonts w:ascii="Arial" w:cs="Arial" w:eastAsia="Arial" w:hAnsi="Arial"/>
          <w:b/>
          <w:bCs/>
          <w:sz w:val="20"/>
          <w:szCs w:val="20"/>
        </w:rPr>
        <w:t xml:space="preserve">Quantitative cost of the gap — width of forecast confidence interval is a measure of the information we are losing. </w:t>
      </w:r>
      <w:r>
        <w:rPr>
          <w:rFonts w:ascii="Arial" w:cs="Arial" w:eastAsia="Arial" w:hAnsi="Arial"/>
          <w:sz w:val="20"/>
          <w:szCs w:val="20"/>
        </w:rPr>
        <w:t xml:space="preserve">Paragraph 5</w:t>
      </w:r>
    </w:p>
    <w:p>
      <w:pPr>
        <w:spacing w:before="80" w:after="40"/>
      </w:pPr>
    </w:p>
    <w:p>
      <w:pPr>
        <w:spacing w:before="80" w:after="80"/>
      </w:pPr>
      <w:r>
        <w:rPr>
          <w:rFonts w:ascii="Arial" w:cs="Arial" w:eastAsia="Arial" w:hAnsi="Arial"/>
          <w:sz w:val="20"/>
          <w:szCs w:val="20"/>
        </w:rPr>
        <w:t xml:space="preserve">Register: policy economist documenting a gap in public oversight infrastructure and making a specific, actionable recommendation. Not a frustrated graduate student complaining about missing data.</w:t>
      </w:r>
    </w:p>
    <w:p>
      <w:pPr>
        <w:pBdr>
          <w:bottom w:val="single" w:color="CCCCCC" w:sz="4" w:space="1"/>
        </w:pBdr>
        <w:spacing w:before="120" w:after="120"/>
      </w:pPr>
    </w:p>
    <w:p>
      <w:pPr>
        <w:pStyle w:val="Heading1"/>
        <w:spacing w:before="320" w:after="160"/>
      </w:pPr>
      <w:r>
        <w:rPr>
          <w:rFonts w:ascii="Arial" w:cs="Arial" w:eastAsia="Arial" w:hAnsi="Arial"/>
          <w:b/>
          <w:bCs/>
          <w:color w:val="2E4057"/>
          <w:sz w:val="32"/>
          <w:szCs w:val="32"/>
        </w:rPr>
        <w:t xml:space="preserve">10. Regression-to-Forecast Handoff</w:t>
      </w:r>
    </w:p>
    <w:p>
      <w:pPr>
        <w:pStyle w:val="Heading2"/>
        <w:spacing w:before="240" w:after="120"/>
      </w:pPr>
      <w:r>
        <w:rPr>
          <w:rFonts w:ascii="Arial" w:cs="Arial" w:eastAsia="Arial" w:hAnsi="Arial"/>
          <w:b/>
          <w:bCs/>
          <w:color w:val="2E4057"/>
          <w:sz w:val="26"/>
          <w:szCs w:val="26"/>
        </w:rPr>
        <w:t xml:space="preserve">10.1 What the Regression Gives the Forecast</w:t>
      </w:r>
    </w:p>
    <w:p>
      <w:pPr>
        <w:pStyle w:val="ListParagraph"/>
        <w:numPr>
          <w:ilvl w:val="0"/>
          <w:numId w:val="2"/>
        </w:numPr>
        <w:spacing w:before="40" w:after="40"/>
      </w:pPr>
      <w:r>
        <w:rPr>
          <w:rFonts w:ascii="Arial" w:cs="Arial" w:eastAsia="Arial" w:hAnsi="Arial"/>
          <w:sz w:val="20"/>
          <w:szCs w:val="20"/>
        </w:rPr>
        <w:t xml:space="preserve">A scaling parameter translating the current queue pipeline into projected demand increments</w:t>
      </w:r>
    </w:p>
    <w:p>
      <w:pPr>
        <w:pStyle w:val="ListParagraph"/>
        <w:numPr>
          <w:ilvl w:val="0"/>
          <w:numId w:val="2"/>
        </w:numPr>
        <w:spacing w:before="40" w:after="40"/>
      </w:pPr>
      <w:r>
        <w:rPr>
          <w:rFonts w:ascii="Arial" w:cs="Arial" w:eastAsia="Arial" w:hAnsi="Arial"/>
          <w:sz w:val="20"/>
          <w:szCs w:val="20"/>
        </w:rPr>
        <w:t xml:space="preserve">A defensible out-of-sample assumption grounded in the physical filing-to-energization relationship</w:t>
      </w:r>
    </w:p>
    <w:p>
      <w:pPr>
        <w:pStyle w:val="ListParagraph"/>
        <w:numPr>
          <w:ilvl w:val="0"/>
          <w:numId w:val="2"/>
        </w:numPr>
        <w:spacing w:before="40" w:after="40"/>
      </w:pPr>
      <w:r>
        <w:rPr>
          <w:rFonts w:ascii="Arial" w:cs="Arial" w:eastAsia="Arial" w:hAnsi="Arial"/>
          <w:sz w:val="20"/>
          <w:szCs w:val="20"/>
        </w:rPr>
        <w:t xml:space="preserve">An informational baseline: ARIMA without queue data vs. XGBoost with queue features — the gap between them measures the value of queue data</w:t>
      </w:r>
    </w:p>
    <w:p>
      <w:pPr>
        <w:pStyle w:val="Heading2"/>
        <w:spacing w:before="240" w:after="120"/>
      </w:pPr>
      <w:r>
        <w:rPr>
          <w:rFonts w:ascii="Arial" w:cs="Arial" w:eastAsia="Arial" w:hAnsi="Arial"/>
          <w:b/>
          <w:bCs/>
          <w:color w:val="2E4057"/>
          <w:sz w:val="26"/>
          <w:szCs w:val="26"/>
        </w:rPr>
        <w:t xml:space="preserve">10.2 How Identification Uncertainty Enters the Forecast</w:t>
      </w:r>
    </w:p>
    <w:p>
      <w:pPr>
        <w:spacing w:before="80" w:after="80"/>
      </w:pPr>
      <w:r>
        <w:rPr>
          <w:rFonts w:ascii="Arial" w:cs="Arial" w:eastAsia="Arial" w:hAnsi="Arial"/>
          <w:sz w:val="20"/>
          <w:szCs w:val="20"/>
        </w:rPr>
        <w:t xml:space="preserve">Run the forecast under two alternative scaling assumptions:</w:t>
      </w:r>
    </w:p>
    <w:p>
      <w:pPr>
        <w:pStyle w:val="ListParagraph"/>
        <w:numPr>
          <w:ilvl w:val="0"/>
          <w:numId w:val="2"/>
        </w:numPr>
        <w:spacing w:before="40" w:after="40"/>
      </w:pPr>
      <w:r>
        <w:rPr>
          <w:rFonts w:ascii="Arial" w:cs="Arial" w:eastAsia="Arial" w:hAnsi="Arial"/>
          <w:sz w:val="20"/>
          <w:szCs w:val="20"/>
        </w:rPr>
        <w:t xml:space="preserve">Regression coefficient (S1 primary specification)</w:t>
      </w:r>
    </w:p>
    <w:p>
      <w:pPr>
        <w:pStyle w:val="ListParagraph"/>
        <w:numPr>
          <w:ilvl w:val="0"/>
          <w:numId w:val="2"/>
        </w:numPr>
        <w:spacing w:before="40" w:after="40"/>
      </w:pPr>
      <w:r>
        <w:rPr>
          <w:rFonts w:ascii="Arial" w:cs="Arial" w:eastAsia="Arial" w:hAnsi="Arial"/>
          <w:sz w:val="20"/>
          <w:szCs w:val="20"/>
        </w:rPr>
        <w:t xml:space="preserve">Synthetic control gap estimate (lower bound)</w:t>
      </w:r>
    </w:p>
    <w:p>
      <w:pPr>
        <w:spacing w:before="60" w:after="40"/>
      </w:pPr>
    </w:p>
    <w:p>
      <w:pPr>
        <w:spacing w:before="80" w:after="80"/>
      </w:pPr>
      <w:r>
        <w:rPr>
          <w:rFonts w:ascii="Arial" w:cs="Arial" w:eastAsia="Arial" w:hAnsi="Arial"/>
          <w:sz w:val="20"/>
          <w:szCs w:val="20"/>
        </w:rPr>
        <w:t xml:space="preserve">The resulting forecast range reflects both statistical uncertainty and identification uncertainty. This is the honest characterization of forward grid stress from the existing pipeline.</w:t>
      </w:r>
    </w:p>
    <w:p>
      <w:pPr>
        <w:pStyle w:val="Heading2"/>
        <w:spacing w:before="240" w:after="120"/>
      </w:pPr>
      <w:r>
        <w:rPr>
          <w:rFonts w:ascii="Arial" w:cs="Arial" w:eastAsia="Arial" w:hAnsi="Arial"/>
          <w:b/>
          <w:bCs/>
          <w:color w:val="2E4057"/>
          <w:sz w:val="26"/>
          <w:szCs w:val="26"/>
        </w:rPr>
        <w:t xml:space="preserve">10.3 Model Stack and Queue Entry Point</w:t>
      </w:r>
    </w:p>
    <w:p>
      <w:pPr>
        <w:spacing w:before="80" w:after="40"/>
      </w:pP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800"/>
        <w:gridCol w:w="3200"/>
        <w:gridCol w:w="3200"/>
        <w:gridCol w:w="800"/>
      </w:tblGrid>
      <w:tr>
        <w:trPr>
          <w:tblHeader/>
        </w:trPr>
        <w:tc>
          <w:tcPr>
            <w:tcW w:type="dxa" w:w="8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18"/>
                <w:szCs w:val="18"/>
              </w:rPr>
              <w:t xml:space="preserve">Step</w:t>
            </w:r>
          </w:p>
        </w:tc>
        <w:tc>
          <w:tcPr>
            <w:tcW w:type="dxa" w:w="32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18"/>
                <w:szCs w:val="18"/>
              </w:rPr>
              <w:t xml:space="preserve">Task</w:t>
            </w:r>
          </w:p>
        </w:tc>
        <w:tc>
          <w:tcPr>
            <w:tcW w:type="dxa" w:w="32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18"/>
                <w:szCs w:val="18"/>
              </w:rPr>
              <w:t xml:space="preserve">Method / Tool</w:t>
            </w:r>
          </w:p>
        </w:tc>
        <w:tc>
          <w:tcPr>
            <w:tcW w:type="dxa" w:w="8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18"/>
                <w:szCs w:val="18"/>
              </w:rPr>
              <w:t xml:space="preserve">Status</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ARIMA</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No queue variable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Pure time series baseline. Measures what you predict using only historical patterns. Establishes the floor.</w:t>
            </w:r>
          </w:p>
        </w:tc>
      </w:tr>
      <w:tr>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Prophet</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Queue as external regressor</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Handles seasonality natively. Queue adds the investment pipeline signal on top.</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XGBoost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Full feature set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All lag specs, stock and flow variables, weather, economic controls. Primary forecast model.</w:t>
            </w:r>
          </w:p>
        </w:tc>
      </w:tr>
    </w:tbl>
    <w:p>
      <w:pPr>
        <w:spacing w:before="80" w:after="40"/>
      </w:pPr>
    </w:p>
    <w:p>
      <w:pPr>
        <w:spacing w:before="80" w:after="80"/>
        <w:ind w:left="360"/>
      </w:pPr>
      <w:r>
        <w:rPr>
          <w:rFonts w:ascii="Arial" w:cs="Arial" w:eastAsia="Arial" w:hAnsi="Arial"/>
          <w:b/>
          <w:bCs/>
          <w:color w:val="666666"/>
          <w:sz w:val="20"/>
          <w:szCs w:val="20"/>
        </w:rPr>
        <w:t xml:space="preserve">Note: </w:t>
      </w:r>
      <w:r>
        <w:rPr>
          <w:rFonts w:ascii="Arial" w:cs="Arial" w:eastAsia="Arial" w:hAnsi="Arial"/>
          <w:i/>
          <w:iCs/>
          <w:color w:val="666666"/>
          <w:sz w:val="20"/>
          <w:szCs w:val="20"/>
        </w:rPr>
        <w:t xml:space="preserve">The ARIMA-to-XGBoost progression is a narrative about how much information the queue data adds — not just a model benchmarking exercise. It directly supports the policy argument for data disclosure.</w:t>
      </w:r>
    </w:p>
    <w:p>
      <w:pPr>
        <w:pStyle w:val="Heading2"/>
        <w:spacing w:before="240" w:after="120"/>
      </w:pPr>
      <w:r>
        <w:rPr>
          <w:rFonts w:ascii="Arial" w:cs="Arial" w:eastAsia="Arial" w:hAnsi="Arial"/>
          <w:b/>
          <w:bCs/>
          <w:color w:val="2E4057"/>
          <w:sz w:val="26"/>
          <w:szCs w:val="26"/>
        </w:rPr>
        <w:t xml:space="preserve">10.4 Forecast Language</w:t>
      </w:r>
    </w:p>
    <w:p>
      <w:pPr>
        <w:spacing w:before="80" w:after="80"/>
        <w:ind w:left="360"/>
      </w:pPr>
      <w:r>
        <w:rPr>
          <w:rFonts w:ascii="Arial" w:cs="Arial" w:eastAsia="Arial" w:hAnsi="Arial"/>
          <w:i/>
          <w:iCs/>
          <w:color w:val="333333"/>
          <w:sz w:val="20"/>
          <w:szCs w:val="20"/>
        </w:rPr>
        <w:t xml:space="preserve">"We use the estimated association coefficient as a scaling parameter to translate the current interconnection queue pipeline into projected demand increments. This approach assumes the historical relationship between queue filings and realized demand persists over the forecast horizon — an assumption we relax through alternative scaling specifications corresponding to our lower and upper bound estimates."</w:t>
      </w:r>
    </w:p>
    <w:p>
      <w:pPr>
        <w:pBdr>
          <w:bottom w:val="single" w:color="CCCCCC" w:sz="4" w:space="1"/>
        </w:pBdr>
        <w:spacing w:before="120" w:after="120"/>
      </w:pPr>
    </w:p>
    <w:p>
      <w:pPr>
        <w:pStyle w:val="Heading1"/>
        <w:spacing w:before="320" w:after="160"/>
      </w:pPr>
      <w:r>
        <w:rPr>
          <w:rFonts w:ascii="Arial" w:cs="Arial" w:eastAsia="Arial" w:hAnsi="Arial"/>
          <w:b/>
          <w:bCs/>
          <w:color w:val="2E4057"/>
          <w:sz w:val="32"/>
          <w:szCs w:val="32"/>
        </w:rPr>
        <w:t xml:space="preserve">11. Non-Negotiable Decision Rules</w:t>
      </w:r>
    </w:p>
    <w:p>
      <w:pPr>
        <w:spacing w:before="80" w:after="80"/>
      </w:pPr>
      <w:r>
        <w:rPr>
          <w:rFonts w:ascii="Arial" w:cs="Arial" w:eastAsia="Arial" w:hAnsi="Arial"/>
          <w:sz w:val="20"/>
          <w:szCs w:val="20"/>
        </w:rPr>
        <w:t xml:space="preserve">These five rules do not get revisited once you open Stata.</w:t>
      </w:r>
    </w:p>
    <w:p>
      <w:pPr>
        <w:spacing w:before="80" w:after="40"/>
      </w:pPr>
    </w:p>
    <w:p>
      <w:pPr>
        <w:pStyle w:val="ListParagraph"/>
        <w:numPr>
          <w:ilvl w:val="0"/>
          <w:numId w:val="3"/>
        </w:numPr>
        <w:spacing w:before="60" w:after="60"/>
      </w:pPr>
      <w:r>
        <w:rPr>
          <w:rFonts w:ascii="Arial" w:cs="Arial" w:eastAsia="Arial" w:hAnsi="Arial"/>
          <w:b/>
          <w:bCs/>
          <w:sz w:val="20"/>
          <w:szCs w:val="20"/>
        </w:rPr>
        <w:t xml:space="preserve">Primary lag is 18 months. </w:t>
      </w:r>
      <w:r>
        <w:rPr>
          <w:rFonts w:ascii="Arial" w:cs="Arial" w:eastAsia="Arial" w:hAnsi="Arial"/>
          <w:sz w:val="20"/>
          <w:szCs w:val="20"/>
        </w:rPr>
        <w:t xml:space="preserve">If queue_lag12 gives a larger coefficient, that does not change the primary specification.</w:t>
      </w:r>
    </w:p>
    <w:p>
      <w:pPr>
        <w:pStyle w:val="ListParagraph"/>
        <w:numPr>
          <w:ilvl w:val="0"/>
          <w:numId w:val="3"/>
        </w:numPr>
        <w:spacing w:before="60" w:after="60"/>
      </w:pPr>
      <w:r>
        <w:rPr>
          <w:rFonts w:ascii="Arial" w:cs="Arial" w:eastAsia="Arial" w:hAnsi="Arial"/>
          <w:b/>
          <w:bCs/>
          <w:sz w:val="20"/>
          <w:szCs w:val="20"/>
        </w:rPr>
        <w:t xml:space="preserve">MW threshold is set by histogram before any regression runs. </w:t>
      </w:r>
      <w:r>
        <w:rPr>
          <w:rFonts w:ascii="Arial" w:cs="Arial" w:eastAsia="Arial" w:hAnsi="Arial"/>
          <w:sz w:val="20"/>
          <w:szCs w:val="20"/>
        </w:rPr>
        <w:t xml:space="preserve">If you have not produced the histogram, you do not run the regression.</w:t>
      </w:r>
    </w:p>
    <w:p>
      <w:pPr>
        <w:pStyle w:val="ListParagraph"/>
        <w:numPr>
          <w:ilvl w:val="0"/>
          <w:numId w:val="3"/>
        </w:numPr>
        <w:spacing w:before="60" w:after="60"/>
      </w:pPr>
      <w:r>
        <w:rPr>
          <w:rFonts w:ascii="Arial" w:cs="Arial" w:eastAsia="Arial" w:hAnsi="Arial"/>
          <w:b/>
          <w:bCs/>
          <w:sz w:val="20"/>
          <w:szCs w:val="20"/>
        </w:rPr>
        <w:t xml:space="preserve">Every specification in the robustness table runs and is reported. </w:t>
      </w:r>
      <w:r>
        <w:rPr>
          <w:rFonts w:ascii="Arial" w:cs="Arial" w:eastAsia="Arial" w:hAnsi="Arial"/>
          <w:sz w:val="20"/>
          <w:szCs w:val="20"/>
        </w:rPr>
        <w:t xml:space="preserve">Nothing gets dropped because the result looks bad.</w:t>
      </w:r>
    </w:p>
    <w:p>
      <w:pPr>
        <w:pStyle w:val="ListParagraph"/>
        <w:numPr>
          <w:ilvl w:val="0"/>
          <w:numId w:val="3"/>
        </w:numPr>
        <w:spacing w:before="60" w:after="60"/>
      </w:pPr>
      <w:r>
        <w:rPr>
          <w:rFonts w:ascii="Arial" w:cs="Arial" w:eastAsia="Arial" w:hAnsi="Arial"/>
          <w:b/>
          <w:bCs/>
          <w:sz w:val="20"/>
          <w:szCs w:val="20"/>
        </w:rPr>
        <w:t xml:space="preserve">Inference comes from boottest output only. </w:t>
      </w:r>
      <w:r>
        <w:rPr>
          <w:rFonts w:ascii="Arial" w:cs="Arial" w:eastAsia="Arial" w:hAnsi="Arial"/>
          <w:sz w:val="20"/>
          <w:szCs w:val="20"/>
        </w:rPr>
        <w:t xml:space="preserve">The regression's own clustered SE p-values are not reported anywhere in the paper.</w:t>
      </w:r>
    </w:p>
    <w:p>
      <w:pPr>
        <w:pStyle w:val="ListParagraph"/>
        <w:numPr>
          <w:ilvl w:val="0"/>
          <w:numId w:val="3"/>
        </w:numPr>
        <w:spacing w:before="60" w:after="60"/>
      </w:pPr>
      <w:r>
        <w:rPr>
          <w:rFonts w:ascii="Arial" w:cs="Arial" w:eastAsia="Arial" w:hAnsi="Arial"/>
          <w:b/>
          <w:bCs/>
          <w:sz w:val="20"/>
          <w:szCs w:val="20"/>
        </w:rPr>
        <w:t xml:space="preserve">The Bai-Perron break date is recorded before any synthetic control gap estimates are examined. </w:t>
      </w:r>
      <w:r>
        <w:rPr>
          <w:rFonts w:ascii="Arial" w:cs="Arial" w:eastAsia="Arial" w:hAnsi="Arial"/>
          <w:sz w:val="20"/>
          <w:szCs w:val="20"/>
        </w:rPr>
        <w:t xml:space="preserve">The treatment date cannot be chosen after seeing which date makes the gap look largest.</w:t>
      </w:r>
    </w:p>
    <w:p>
      <w:pPr>
        <w:pBdr>
          <w:bottom w:val="single" w:color="CCCCCC" w:sz="4" w:space="1"/>
        </w:pBdr>
        <w:spacing w:before="120" w:after="120"/>
      </w:pPr>
    </w:p>
    <w:p>
      <w:pPr>
        <w:pStyle w:val="Heading1"/>
        <w:spacing w:before="320" w:after="160"/>
      </w:pPr>
      <w:r>
        <w:rPr>
          <w:rFonts w:ascii="Arial" w:cs="Arial" w:eastAsia="Arial" w:hAnsi="Arial"/>
          <w:b/>
          <w:bCs/>
          <w:color w:val="2E4057"/>
          <w:sz w:val="32"/>
          <w:szCs w:val="32"/>
        </w:rPr>
        <w:t xml:space="preserve">12. Paper Architecture — Empirical Sections</w:t>
      </w:r>
    </w:p>
    <w:p>
      <w:pPr>
        <w:spacing w:before="80" w:after="40"/>
      </w:pP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800"/>
        <w:gridCol w:w="3200"/>
        <w:gridCol w:w="3200"/>
        <w:gridCol w:w="800"/>
      </w:tblGrid>
      <w:tr>
        <w:trPr>
          <w:tblHeader/>
        </w:trPr>
        <w:tc>
          <w:tcPr>
            <w:tcW w:type="dxa" w:w="8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18"/>
                <w:szCs w:val="18"/>
              </w:rPr>
              <w:t xml:space="preserve">Step</w:t>
            </w:r>
          </w:p>
        </w:tc>
        <w:tc>
          <w:tcPr>
            <w:tcW w:type="dxa" w:w="32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18"/>
                <w:szCs w:val="18"/>
              </w:rPr>
              <w:t xml:space="preserve">Task</w:t>
            </w:r>
          </w:p>
        </w:tc>
        <w:tc>
          <w:tcPr>
            <w:tcW w:type="dxa" w:w="32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18"/>
                <w:szCs w:val="18"/>
              </w:rPr>
              <w:t xml:space="preserve">Method / Tool</w:t>
            </w:r>
          </w:p>
        </w:tc>
        <w:tc>
          <w:tcPr>
            <w:tcW w:type="dxa" w:w="8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18"/>
                <w:szCs w:val="18"/>
              </w:rPr>
              <w:t xml:space="preserve">Status</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Empirical Strategy</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Before results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Four-layer logic stated explicitly. Each method's assumptions and failure modes named. Convergence framed as the evidence.</w:t>
            </w:r>
          </w:p>
        </w:tc>
      </w:tr>
      <w:tr>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Descriptive Evidence</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Results section, first</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Regional demand trends, queue filing trends, co-movement charts, histogram, narrative validation overlay.</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Panel Regression</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Results section, second</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Primary specification, wild bootstrap CI, robustness table all four panels.</w:t>
            </w:r>
          </w:p>
        </w:tc>
      </w:tr>
      <w:tr>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Synthetic Control</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Results section, third</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Three-panel figure. Pre-treatment RMSPE. Placebo distribution. Final weights reported.</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DiD Clean Controls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Results section, fourth</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Least contaminated comparison. If estimate sits above synthetic control, contamination story confirmed.</w:t>
            </w:r>
          </w:p>
        </w:tc>
      </w:tr>
      <w:tr>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Synthesis</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End of results section</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Estimated range across all methods. Lower bound from contaminated SC. Upper end from DiD. Regression in between. All methods positive and meaningful.</w:t>
            </w:r>
          </w:p>
        </w:tc>
      </w:tr>
    </w:tbl>
    <w:p>
      <w:pPr>
        <w:spacing w:before="240" w:after="80"/>
      </w:pPr>
    </w:p>
    <w:p>
      <w:pPr>
        <w:pBdr>
          <w:bottom w:val="single" w:color="CCCCCC" w:sz="4" w:space="1"/>
        </w:pBdr>
        <w:spacing w:before="120" w:after="120"/>
      </w:pPr>
    </w:p>
    <w:p>
      <w:pPr>
        <w:spacing w:before="80" w:after="0"/>
        <w:jc w:val="center"/>
      </w:pPr>
      <w:r>
        <w:rPr>
          <w:rFonts w:ascii="Arial" w:cs="Arial" w:eastAsia="Arial" w:hAnsi="Arial"/>
          <w:i/>
          <w:iCs/>
          <w:color w:val="999999"/>
          <w:sz w:val="16"/>
          <w:szCs w:val="16"/>
        </w:rPr>
        <w:t xml:space="preserve">Document version 1.0 | Economics Chat | March 2026 | lambcast.net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abstractNum>
  <w:abstractNum w:abstractNumId="3" w15:restartNumberingAfterBreak="0">
    <w:multiLevelType w:val="hybridMultilevel"/>
    <w:lvl w:ilvl="0" w15:tentative="1">
      <w:start w:val="1"/>
      <w:numFmt w:val="bullet"/>
      <w:lvlText w:val="•"/>
      <w:lvlJc w:val="left"/>
      <w:pPr>
        <w:ind w:left="540" w:hanging="260"/>
      </w:pPr>
    </w:lvl>
    <w:lvl w:ilvl="1" w15:tentative="1">
      <w:start w:val="1"/>
      <w:numFmt w:val="bullet"/>
      <w:lvlText w:val="◦"/>
      <w:lvlJc w:val="left"/>
      <w:pPr>
        <w:ind w:left="900" w:hanging="260"/>
      </w:pPr>
    </w:lvl>
  </w:abstractNum>
  <w:abstractNum w:abstractNumId="4" w15:restartNumberingAfterBreak="0">
    <w:multiLevelType w:val="hybridMultilevel"/>
    <w:lvl w:ilvl="0" w15:tentative="1">
      <w:start w:val="1"/>
      <w:numFmt w:val="decimal"/>
      <w:lvlText w:val="%1."/>
      <w:lvlJc w:val="left"/>
      <w:pPr>
        <w:ind w:left="540" w:hanging="2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2E4057"/>
      <w:sz w:val="32"/>
      <w:szCs w:val="32"/>
    </w:rPr>
  </w:style>
  <w:style w:type="paragraph" w:styleId="Heading2">
    <w:name w:val="Heading 2"/>
    <w:basedOn w:val="Normal"/>
    <w:next w:val="Normal"/>
    <w:qFormat/>
    <w:pPr>
      <w:spacing w:before="240" w:after="120"/>
      <w:outlineLvl w:val="1"/>
    </w:pPr>
    <w:rPr>
      <w:rFonts w:ascii="Arial" w:cs="Arial" w:eastAsia="Arial" w:hAnsi="Arial"/>
      <w:b/>
      <w:bCs/>
      <w:color w:val="2E4057"/>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2026-03-12T17:14:15.249Z</dcterms:created>
  <dcterms:modified xsi:type="dcterms:W3CDTF">2026-03-12T17:14:15.250Z</dcterms:modified>
</cp:coreProperties>
</file>

<file path=docProps/custom.xml><?xml version="1.0" encoding="utf-8"?>
<Properties xmlns="http://schemas.openxmlformats.org/officeDocument/2006/custom-properties" xmlns:vt="http://schemas.openxmlformats.org/officeDocument/2006/docPropsVTypes"/>
</file>