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AI Infrastructure &amp; Regional Electricity Demand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2E75B6"/>
          <w:sz w:val="28"/>
          <w:szCs w:val="28"/>
        </w:rPr>
        <w:t xml:space="preserve">A Forecasting Framework for U.S. Grid Stress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Alan Lamb  |  Lambcast Applied Economics  |  M.S. Applied Economics, University of Maryland  |  2026</w:t>
      </w:r>
    </w:p>
    <w:p>
      <w:pPr>
        <w:spacing w:after="320"/>
        <w:jc w:val="center"/>
      </w:pPr>
      <w:r>
        <w:rPr>
          <w:rFonts w:ascii="Arial" w:cs="Arial" w:eastAsia="Arial" w:hAnsi="Arial"/>
          <w:b/>
          <w:bCs/>
          <w:color w:val="888888"/>
          <w:sz w:val="20"/>
          <w:szCs w:val="20"/>
        </w:rPr>
        <w:t xml:space="preserve">Master Project Document  —  Version 6.0  |  Updated March 2026</w:t>
      </w:r>
    </w:p>
    <w:p>
      <w:pPr>
        <w:pBdr>
          <w:left w:val="single" w:color="70AD47" w:sz="16" w:space="12"/>
        </w:pBdr>
        <w:spacing w:after="20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Design Note (v6, March 2026): </w:t>
      </w:r>
      <w:r>
        <w:rPr>
          <w:rFonts w:ascii="Arial" w:cs="Arial" w:eastAsia="Arial" w:hAnsi="Arial"/>
          <w:sz w:val="22"/>
          <w:szCs w:val="22"/>
        </w:rPr>
        <w:t xml:space="preserve">Phase 2 empirical analysis is complete. The headline finding is the minimum demand baseload floor divergence in ERCOT — a 34.8 index point gap using the clean donor SC-3 specification, with zero placebos exceeding ERCOT's gap. The panel regression documents the limits of TWFE with 3 units and a level-shift treatment — a methodological finding, not a failure. Phase 3 expands the design in three directions: CAISO as a second treated unit, narrative validation overlay, and the full forecasting pipeline.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Executive Summary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This project quantifies the relationship between data center investment and regional electricity demand growth, then builds a forward-looking grid stress forecast for three major U.S. electricity markets: PJM (Mid-Atlantic/Midwest), ERCOT (Texas), and MISO (Southeast/Midwest), with CAISO (California) added as a second treated unit in Phase 3.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The paper combines a four-layer identification strategy with a production-grade forecasting pipeline. It documents — as an explicit research finding — that causal identification of the data center demand effect is not currently possible with public data alone, and argues this gap represents a significant policy problem. The headline empirical result is the minimum demand baseload floor divergence in ERCOT: a 34.8 index point gap versus the synthetic counterfactual, representing the always-on load signature of data center infrastructure.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The project serves two audiences simultaneously. For Amazon Applied Science and industry hiring teams, it demonstrates end-to-end ownership of a production-style data pipeline. For research-oriented teams, it demonstrates multi-method identification, honest documentation of identification limits, and a rigorous forecasting methodology.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Core Research Question</w:t>
      </w:r>
    </w:p>
    <w:p>
      <w:pPr>
        <w:pBdr>
          <w:left w:val="single" w:color="2E75B6" w:sz="12" w:space="12"/>
        </w:pBdr>
        <w:spacing w:after="200"/>
        <w:ind w:left="480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How much has data center investment driven regional electricity demand growth — and can we build a model that forecasts future grid stress from the existing investment pipeline?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What This Paper Claims and Does Not Claim</w:t>
      </w:r>
    </w:p>
    <w:p>
      <w:pPr>
        <w:pStyle w:val="Heading2"/>
      </w:pPr>
      <w:r>
        <w:t xml:space="preserve">Claims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Data center investment is a primary driver of electricity demand growth in ERCOT, with a measurable baseload floor signature in minimum hourly demand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minimum demand synthetic control gap (34.8 index points, SC-3) is the headline causal estimate — it isolates always-on infrastructure load from weather-driven variation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generation interconnection queue is a measurable leading indicator of future grid stress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 four-layer identification strategy produces a credible estimated range, even without clean causal identification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Causal identification of the per-facility demand effect requires project-level load data that does not currently exist in public form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Does Not Claim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 precise causal estimate of MW demand per data center (data does not support this)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That the generation queue directly measures data center load (acknowledged proxy)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Findings that generalize beyond the target markets without further analysis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Key Empirical Results (Phase 2 — Complete)</w:t>
      </w:r>
    </w:p>
    <w:p>
      <w:pPr>
        <w:pBdr>
          <w:left w:val="single" w:color="70AD47" w:sz="16" w:space="12"/>
        </w:pBdr>
        <w:spacing w:after="20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Headline finding: </w:t>
      </w:r>
      <w:r>
        <w:rPr>
          <w:rFonts w:ascii="Arial" w:cs="Arial" w:eastAsia="Arial" w:hAnsi="Arial"/>
          <w:sz w:val="22"/>
          <w:szCs w:val="22"/>
        </w:rPr>
        <w:t xml:space="preserve">Minimum demand baseload floor divergence. ERCOT minimum hourly demand diverged 34.8 index points above the synthetic counterfactual (SC-3 clean donor pool). Zero of three placebos exceed ERCOT's gap. This is the always-on, weather-invariant load signature of data center infrastructure.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Layer 1 — Panel Regression</w:t>
      </w:r>
    </w:p>
    <w:p>
      <w:pPr>
        <w:pBdr>
          <w:left w:val="single" w:color="70AD47" w:sz="16" w:space="12"/>
        </w:pBdr>
        <w:shd w:fill="F2F9EE" w:val="clear"/>
        <w:spacing w:after="160"/>
        <w:ind w:left="36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Result: </w:t>
      </w:r>
      <w:r>
        <w:rPr>
          <w:rFonts w:ascii="Arial" w:cs="Arial" w:eastAsia="Arial" w:hAnsi="Arial"/>
          <w:sz w:val="22"/>
          <w:szCs w:val="22"/>
        </w:rPr>
        <w:t xml:space="preserve">Primary coefficient 0.029, wild bootstrap p = 0.063. Full four-panel robustness table completed (lag sensitivity, MW threshold, control specification, queue variable).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TWFE with 3 units and a level-shift treatment has limited power — this is documented as a methodological finding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Minimum p-value with 3 clusters is 0.125 under wild cluster bootstrap — reported explicitly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Coefficient stability across specifications is the evidence, not a p-value threshold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Layer 2a — Synthetic Control, Average Demand</w:t>
      </w:r>
    </w:p>
    <w:p>
      <w:pPr>
        <w:pBdr>
          <w:left w:val="single" w:color="70AD47" w:sz="16" w:space="12"/>
        </w:pBdr>
        <w:shd w:fill="F2F9EE" w:val="clear"/>
        <w:spacing w:after="160"/>
        <w:ind w:left="36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Result: </w:t>
      </w:r>
      <w:r>
        <w:rPr>
          <w:rFonts w:ascii="Arial" w:cs="Arial" w:eastAsia="Arial" w:hAnsi="Arial"/>
          <w:sz w:val="22"/>
          <w:szCs w:val="22"/>
        </w:rPr>
        <w:t xml:space="preserve">SC-3 gap of 24.5 index points using ISNE/NYIS/SWPP donor pool. Zero placebos exceed ERCOT's gap. p = 0.25.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SC-1 (PJM+MISO only) confirms contaminated donor lower bound story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SC-3 clean donor pool gives largest gap — ordering consistent with contamination hypothesis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Layer 2b — Synthetic Control, Minimum Demand (Headline)</w:t>
      </w:r>
    </w:p>
    <w:p>
      <w:pPr>
        <w:pBdr>
          <w:left w:val="single" w:color="70AD47" w:sz="16" w:space="12"/>
        </w:pBdr>
        <w:shd w:fill="F2F9EE" w:val="clear"/>
        <w:spacing w:after="160"/>
        <w:ind w:left="36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Result: </w:t>
      </w:r>
      <w:r>
        <w:rPr>
          <w:rFonts w:ascii="Arial" w:cs="Arial" w:eastAsia="Arial" w:hAnsi="Arial"/>
          <w:sz w:val="22"/>
          <w:szCs w:val="22"/>
        </w:rPr>
        <w:t xml:space="preserve">SC-3 gap of 34.8 index points. Zero placebos exceed ERCOT's gap. p = 0.25. Bai-Perron break confirmed at 2023m5, UDmax 35.39.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Minimum demand isolates baseload floor — weather variation removed, data center always-on signature isolated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Gap larger than average demand SC — consistent with always-on infrastructure hypothesis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This is the paper's headline empirical result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Layer 3 — DiD with Low-Exposure Controls</w:t>
      </w:r>
    </w:p>
    <w:p>
      <w:pPr>
        <w:pBdr>
          <w:left w:val="single" w:color="70AD47" w:sz="16" w:space="12"/>
        </w:pBdr>
        <w:shd w:fill="F2F9EE" w:val="clear"/>
        <w:spacing w:after="160"/>
        <w:ind w:left="36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Result: </w:t>
      </w:r>
      <w:r>
        <w:rPr>
          <w:rFonts w:ascii="Arial" w:cs="Arial" w:eastAsia="Arial" w:hAnsi="Arial"/>
          <w:sz w:val="22"/>
          <w:szCs w:val="22"/>
        </w:rPr>
        <w:t xml:space="preserve">Coefficient 9.8 index points, p = 0.125 (minimum achievable with cluster count).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Low-exposure BAs: ISNE, NYIS, SWPP — classified by cumulative 100MW+ filings from LBL data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Estimate sits above synthetic control gap — confirms contamination lower bound story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Layer 4 — Narrative Validation</w:t>
      </w:r>
    </w:p>
    <w:p>
      <w:pPr>
        <w:pBdr>
          <w:left w:val="single" w:color="70AD47" w:sz="16" w:space="12"/>
        </w:pBdr>
        <w:shd w:fill="F2F9EE" w:val="clear"/>
        <w:spacing w:after="160"/>
        <w:ind w:left="36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Status: </w:t>
      </w:r>
      <w:r>
        <w:rPr>
          <w:rFonts w:ascii="Arial" w:cs="Arial" w:eastAsia="Arial" w:hAnsi="Arial"/>
          <w:sz w:val="22"/>
          <w:szCs w:val="22"/>
        </w:rPr>
        <w:t xml:space="preserve">Pending. Energization overlay figure to be added in Phase 3.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Target facilities: Google Midlothian, Microsoft San Antonio, Meta Fort Worth, QTS Irving, Switch San Antonio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Will be overlaid as vertical markers on the minimum demand gap plot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Stata Do-Files (scripts/)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phase2_panel_regression.do — Layer 1 full specification and robustness table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phase2_synthetic_control.do — Layer 2a average demand SC, three donor pool specs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phase2_sc_mindemand.do — Layer 2b minimum demand SC, headline result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phase2_did.do — Layer 3 DiD with low-exposure controls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Identification Strategy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The paper uses four complementary methods to build a credible estimated range for the demand effect of data center investment. No single method provides clean causal identification with available public data. Convergence across methods — with the expected ordering of estimates — confirms the lower bound story.</w:t>
      </w:r>
    </w:p>
    <w:p>
      <w:pPr>
        <w:pBdr>
          <w:left w:val="single" w:color="2E75B6" w:sz="16" w:space="12"/>
        </w:pBdr>
        <w:spacing w:after="20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Expected ordering confirmed: </w:t>
      </w:r>
      <w:r>
        <w:rPr>
          <w:rFonts w:ascii="Arial" w:cs="Arial" w:eastAsia="Arial" w:hAnsi="Arial"/>
          <w:sz w:val="22"/>
          <w:szCs w:val="22"/>
        </w:rPr>
        <w:t xml:space="preserve">Synthetic control (lowest, contaminated donors) → Panel regression (middle) → DiD with clean controls (highest). SC-3 with clean donors gives larger gaps than SC-1 — confirms contamination was suppressing the baseline estimate.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Layer 1: Panel Regression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Primary regressor: queue_mw_filed_large (100MW+ projects, histogram-confirmed threshold)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Primary lag: 18 months. Robustness at 12, 24, 30 months.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Controls: HDD, CDD, regional GDP. Fixed effects: BA-level and month-year.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Inference: wild cluster bootstrap via Stata boottest. Minimum p-value 0.125 reported explicitly.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Methodological finding: TWFE has limited power with 3 units and level-shift treatment — documented, not hidden.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Layer 2: Synthetic Control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Average demand SC-3 gap: 24.5 index points. Minimum demand SC-3 gap: 34.8 index points (headline).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Treatment date: Bai-Perron break at 2023m5, UDmax 35.39.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Three donor pool specs: SC-1 (PJM+MISO, contaminated lower bound), SC-2 (expanded), SC-3 (ISNE/NYIS/SWPP, cleanest).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In-space placebo tests: zero placebos exceed ERCOT's gap in SC-3 specification.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Layer 3: DiD with Low-Exposure Controls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Low-exposure BAs: ISNE, NYIS, SWPP — classified by cumulative 100MW+ filings.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Coefficient 9.8 index points, p = 0.125. Estimate sits above SC gap — confirms lower bound story.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Layer 4: Narrative Validation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Known ERCOT data center energizations overlaid on minimum demand gap plot — Phase 3 deliverable.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Target: Google Midlothian, Microsoft San Antonio, Meta Fort Worth, QTS Irving, Switch San Antonio.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Robustness Checks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Four-panel robustness table completed. Every specification reported — no selective reporting.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Panel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varies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Lag sensitivity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12, 18, 24, 30-month lags — primary at 18 months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MW threshold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50MW, 100MW (histogram-confirmed), 200MW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Control specification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With/without GDP; BA linear and quadratic time trends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Queue variable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Flow vs stock; all projects vs large only (100MW+)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Phase 3 — Expanded Plan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Phase 3 expands the design in four directions, building on the confirmed Phase 2 results.</w:t>
      </w:r>
    </w:p>
    <w:p>
      <w:pPr>
        <w:pStyle w:val="Heading2"/>
      </w:pPr>
      <w:r>
        <w:t xml:space="preserve">Direction 1 — CAISO as Second Treated Unit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California's data center market is large and growing with a completely different regulatory structure from ERCOT. Adding CAISO enables a comparative institutional analysis: how did different regulatory environments produce different demand responses to similar investment surges?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Confirm CAISO coverage in EIA Form 930 data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Classify CAISO as treated or donor based on LBL queue filing history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Add CAISO to panel with HDD/CDD/GDP controls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Run Bai-Perron structural break test on CAISO demand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Run synthetic control with CAISO as treated unit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Produce comparative gap plots: ERCOT vs CAISO treatment effects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Comparative institutional analysis: deregulated (ERCOT) vs regulated (CAISO) demand response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Direction 2 — Narrative Validation Overlay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Add known large ERCOT data center energization dates as vertical markers on the minimum demand gap plot.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Target facilities: Google Midlothian, Microsoft San Antonio, Meta Fort Worth, QTS Irving, Switch San Antonio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Connects statistical finding to documented real-world events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Mechanism evidence without a complete facility census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Direction 3 — Forecasting Pipeline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Three-model stack translating the current queue pipeline into projected regional demand growth with uncertainty bounds.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ARIMA baseline — no queue variable. Establishes the floor. Measures prediction from historical patterns alone.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Prophet — queue as external regressor. Handles seasonality natively. Isolates queue contribution.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XGBoost — full feature set. All lag specs, stock and flow variables, weather, economic controls. Primary forecast model.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Out-of-sample validation on 2024-2025 holdout period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ARIMA-to-XGBoost improvement quantifies the informational value of public queue data disclosure — the quantitative data gap argument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Output: regional demand projections through 2027-2028 with uncertainty bounds by BA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Direction 4 — Hex Dashboard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Interactive regional forecast visualization. Built after paper draft is complete.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Regional demand forecast by balancing authority with uncertainty bounds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Queue pipeline visualization — current active MW by BA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Comparative ERCOT vs CAISO institutional analysis panel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Paper Structure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Abstract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Introduction — motivation, data center investment boom, grid stress stakes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Related Literature — Johnston/Liu/Yang supply-side queue work; energy demand forecasting; data center load literature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Data — EIA Form 930, UMD/LBL queue data, NOAA weather, BEA GDP; honest accounting of what exists and does not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Data Gap — why clean causal identification is not currently possible; what data would be needed; policy implications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Empirical Strategy — four-layer logic stated explicitly before results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Descriptive Evidence — regional demand growth patterns; queue investment trends; co-movement charts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Panel Regression — conditional association estimate, wild cluster bootstrap, robustness table, methodological finding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Synthetic Control — average demand and minimum demand gap plots; lower bound framing; Bai-Perron break date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DiD with Low-Exposure Controls — parallel trends, treatment effect, ordering confirmation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Comparative Analysis — ERCOT vs CAISO institutional comparison (Phase 3)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Synthesis — estimated range across methods, convergence, headline minimum demand result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Forecasting Model — ARIMA/Prophet/XGBoost stack, out-of-sample validation, grid stress projections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Conclusion — policy implications, data disclosure recommendations, future work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References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Data Audit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Dataset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EIA Form 930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IN HAND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184,102 rows. Hourly demand PJM/ERCO/MISO, 2019–2025.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UMD PJM Queue 2008–2024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IN HAND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7,492 rows, 121 columns. NSF-funded.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LBL Queued Up 2024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IN HAND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16,093 rows after filtering to PJM/MISO/ERCOT, epoch dates removed.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panel_base.csv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BUILT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252 rows, 17 cols, 3 BAs x 84 months. Demand + queue flow/stock + lags.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panel_with_controls.csv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BUILT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252 rows. Adds HDD/CDD/GDP controls.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panel_expanded.csv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BUILT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504 rows, 6 BAs. Expanded donor pool including ISNE/NYIS/SWPP.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panel_load_shape.csv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BUILT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252 rows. Adds load shape variables including minimum hourly demand.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NOAA Weather (HDD/CDD)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IN HAND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Pulled and merged onto panel.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BEA Regional GDP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IN HAND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Pulled and merged onto panel.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CAISO EIA demand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⏳ PENDING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 — confirm coverage and pull.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ERCOT/PJM/MISO large load queue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❌ NOT USABLE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PDFs only. Documented as data gap finding.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Master Project Checklist</w:t>
      </w:r>
    </w:p>
    <w:p>
      <w:pPr>
        <w:pStyle w:val="Heading2"/>
      </w:pPr>
      <w:r>
        <w:t xml:space="preserve">Phase 1: Data Infrastructure — ✅ Complete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1400"/>
        <w:gridCol w:w="13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1.1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 for EIA API key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Pull EIA Form 930 — 184,102 rows, PJM/ERCO/MISO, 2019–2025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1.3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Download UMD PJM queue dataset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1.4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 and explore LBL Queued Up 2024 — extract to CSV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1.5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Pull NOAA weather data (HDD/CDD) by BA-month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1.6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Pull BEA regional GDP and merge onto panel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1.7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explore_eia.py — 3 demand charts committed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1.8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explore_queue.py — 3 queue charts committed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1.9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build_panel.py — 252-row panel_base.csv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1.10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histogram of project MW sizes — confirm 100MW threshold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1.11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the data gap: load-side queue data does not exist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Phase 2: Identification Strategy — ✅ Complete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1400"/>
        <w:gridCol w:w="13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2.1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Bai-Perron structural break test on ERCOT demand — break at 2023m5, UDmax 35.39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2.2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Panel regression (Layer 1): coefficient 0.029, bootstrap p=0.063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2.3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Four-panel robustness table: lag, MW threshold, controls, queue variable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2.4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Synthetic control average demand (Layer 2a): SC-3 gap 24.5 index points, p=0.25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2.5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Synthetic control minimum demand (Layer 2b): SC-3 gap 34.8 index points, p=0.25 — headline result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2.6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DiD with low-exposure controls (Layer 3): coefficient 9.8 index points, p=0.125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2.7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Classify low-exposure BAs from LBL data: ISNE, NYIS, SWPP confirmed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2.8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 four do-files to scripts/: panel, SC avg, SC min, DiD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2.9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 clean on main, fresh dev branch for Phase 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Done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2.10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Narrative validation overlay (Layer 4)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⏳ Phase 3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Phase 3: Expanded Analysis — In Progress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1400"/>
        <w:gridCol w:w="13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 CAISO coverage in EIA Form 930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3.2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Classify CAISO exposure using LBL queue filing history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3.3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Pull CAISO demand and add to panel with controls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3.4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Bai-Perron structural break test on CAISO demand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3.5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synthetic control with CAISO as treated unit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3.6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Produce comparative ERCOT vs CAISO gap plots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3.7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Narrative validation: overlay ERCOT energizations on minimum demand gap plot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3.8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ARIMA baseline forecast — no queue variable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3.9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Prophet model — queue as external regressor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3.10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XGBoost model — full feature set from queue pipeline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3.11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Out-of-sample validation on 2024–2025 holdout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3.12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Produce regional demand projections through 2027–2028 with uncertainty bounds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3.13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Quantify ARIMA-to-XGBoost improvement as data gap policy argument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3.14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 and publish Post 2: methodology writeup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3.15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 and publish Post 3: preliminary results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3.16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 and publish Post 4: forecasting results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Phase 4: Dashboard, Paper &amp; Publication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1400"/>
        <w:gridCol w:w="13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4.1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Hex dashboard: regional forecast by BA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4.2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 full paper draft: all sections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4.3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 to NBER working paper conventions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4.4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Submit to SSRN; obtain citable URL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4.5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Publish final PDF on lambcast.net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4.6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 and publish Post 5: SSRN submission + dashboard launch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4.7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project to resume and LinkedIn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4.8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Chenyu Yang (UMD) with paper and results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4.9</w:t>
            </w:r>
          </w:p>
        </w:tc>
        <w:tc>
          <w:tcPr>
            <w:tcW w:type="dxa" w:w="4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 paper to Aparna Mathur (AEI) and Amazon/Anthropic contacts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started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Tool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language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pulls, data cleaning, panel construction, forecasting models.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Econometrics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Panel regression, wild cluster bootstrap (boottest), synthetic control, DiD.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 / BigQuery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Warehouse layer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Storage and querying of merged panel at scale.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PySpark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Distributed compute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engineering on full EIA hourly dataset.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Interactive regional forecast visualization.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/ GitHub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 control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branch workflow — dev branch for Phase 3.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SSRN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Publication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Working paper submission for citable URL.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Why This Project Is Strategically Distinctive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Minimum demand baseload floor result is a genuinely novel finding — isolates always-on infrastructure load signature without facility-level data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Four-layer identification strategy produces a credible estimated range — more sophisticated than a single method with overclaimed precision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CAISO comparative institutional analysis adds a second contribution — deregulated vs regulated demand response to identical investment pressure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Honest documentation of TWFE limits with 3 units — stating this explicitly is a mark of research integrity, not a weakness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Real data gap as policy finding — absence of project-level load queue data across ~70% of U.S. load is regulatory failure, documented and argued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Timely — ERCOT queue filings hit 97 GW in 2024; PJM capacity prices jumped from $30 to $330/MW-day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End-to-end — raw API ingestion → panel construction → four identification layers → forecasting → dashboard → published paper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Network &amp; Outreach Targets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Chenyu Yang, UMD Economics — co-author of UMD interconnection queue dataset; email when Phase 3 results ready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Aparna Mathur, AEI — send final paper when complete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Amazon Applied Science recruiting — emphasize pipeline, forecasting, BigQuery, PySpark, dashboard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Anthropic Economics team — paper + SSRN URL; emphasize multi-method identification and honest methodology</w:t>
      </w:r>
    </w:p>
    <w:p>
      <w:pPr>
        <w:spacing w:after="120"/>
      </w:pPr>
      <w:r>
        <w:t xml:space="preserve"/>
      </w:r>
    </w:p>
    <w:p>
      <w:pPr>
        <w:pBdr>
          <w:top w:val="single" w:color="CCCCCC" w:sz="4" w:space="8"/>
        </w:pBdr>
        <w:spacing w:before="400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Document version 6.0  |  Updated March 2026  |  lambcast.net  |  github.com/Lambcast/ai-infrastructure-regional-electricity-demand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4" w:space="4"/>
      </w:pBdr>
      <w:spacing w:before="360" w:after="12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2026-03-15T21:08:00.582Z</dcterms:created>
  <dcterms:modified xsi:type="dcterms:W3CDTF">2026-03-15T21:08:00.583Z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