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The STEM Digital Twin</w:t>
      </w:r>
    </w:p>
    <w:p>
      <w:pPr>
        <w:spacing w:after="320"/>
        <w:jc w:val="center"/>
      </w:pPr>
      <w:r>
        <w:rPr>
          <w:i/>
          <w:iCs/>
          <w:color w:val="595959"/>
          <w:sz w:val="23"/>
          <w:szCs w:val="23"/>
        </w:rPr>
        <w:t xml:space="preserve">A guide to what it simulates and how to drive it</w:t>
      </w:r>
    </w:p>
    <w:p>
      <w:pPr>
        <w:pStyle w:val="Heading1"/>
        <w:spacing w:after="170" w:before="380"/>
      </w:pPr>
      <w:r>
        <w:rPr>
          <w:b/>
          <w:bCs/>
          <w:color w:val="1F3864"/>
          <w:sz w:val="28"/>
          <w:szCs w:val="28"/>
        </w:rPr>
        <w:t xml:space="preserve">1. What it is</w:t>
      </w:r>
    </w:p>
    <w:p>
      <w:pPr>
        <w:spacing w:after="150" w:line="290"/>
      </w:pPr>
      <w:r>
        <w:t xml:space="preserve">A simulated scanning transmission electron microscope with a vendor-neutral control interface. It renders images and electron-diffraction patterns from thirteen specimens, models the instrument behaviours that constrain a real acquisition — finite depth of field, stage drift, dose-driven contamination, stage safety limits, autofocus that can decline to converge — and exposes all of it through an interface whose every method has a counterpart on a real column.</w:t>
      </w:r>
    </w:p>
    <w:p>
      <w:pPr>
        <w:spacing w:after="150" w:line="290"/>
      </w:pPr>
      <w:r>
        <w:t xml:space="preserve">Diffraction is computed kinematically. That is a deliberate choice of operating point: the engine runs in seconds on a laptop processor with no specialised libraries, which is what makes it usable inside an interactive acquisition loop. Dynamical diffraction is available offline through an appendix, on the same specimens.</w:t>
      </w:r>
    </w:p>
    <w:p>
      <w:pPr>
        <w:spacing w:after="150" w:line="290"/>
      </w:pPr>
      <w:r>
        <w:t xml:space="preserve">The purpose is to let acquisition and decision logic be written, run and debugged without an instrument, and then moved onto one by exchanging a single object.</w:t>
      </w:r>
    </w:p>
    <w:p>
      <w:pPr>
        <w:pStyle w:val="Heading1"/>
        <w:spacing w:after="170" w:before="380"/>
      </w:pPr>
      <w:r>
        <w:rPr>
          <w:b/>
          <w:bCs/>
          <w:color w:val="1F3864"/>
          <w:sz w:val="28"/>
          <w:szCs w:val="28"/>
        </w:rPr>
        <w:t xml:space="preserve">2. How it is put together</w:t>
      </w:r>
    </w:p>
    <w:p>
      <w:pPr>
        <w:spacing w:after="150" w:line="290"/>
      </w:pPr>
      <w:r>
        <w:t xml:space="preserve">A server holds the simulation and answers remote procedure calls over a socket. Clients connect to it. The server can run inside the same session as the client or as a separate process; either works.</w:t>
      </w:r>
    </w:p>
    <w:p>
      <w:pPr>
        <w:spacing w:after="150" w:line="290"/>
      </w:pPr>
      <w:r>
        <w:t xml:space="preserve">Two client objects, and the split between them is the point: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DEEAF6" w:val="clear"/>
            <w:tcMar>
              <w:top w:type="dxa" w:w="65"/>
              <w:left w:type="dxa" w:w="105"/>
              <w:bottom w:type="dxa" w:w="65"/>
              <w:right w:type="dxa" w:w="105"/>
            </w:tcMar>
          </w:tcPr>
          <w:p>
            <w:pPr>
              <w:spacing w:after="0" w:line="250"/>
            </w:pPr>
            <w:r>
              <w:rPr>
                <w:b/>
                <w:bCs/>
                <w:sz w:val="19"/>
                <w:szCs w:val="19"/>
              </w:rPr>
              <w:t xml:space="preserve">Object</w:t>
            </w:r>
          </w:p>
        </w:tc>
        <w:tc>
          <w:tcPr>
            <w:tcW w:type="dxa" w:w="6600"/>
            <w:shd w:fill="DEEAF6" w:val="clear"/>
            <w:tcMar>
              <w:top w:type="dxa" w:w="65"/>
              <w:left w:type="dxa" w:w="105"/>
              <w:bottom w:type="dxa" w:w="65"/>
              <w:right w:type="dxa" w:w="105"/>
            </w:tcMar>
          </w:tcPr>
          <w:p>
            <w:pPr>
              <w:spacing w:after="0" w:line="250"/>
            </w:pPr>
            <w:r>
              <w:rPr>
                <w:b/>
                <w:bCs/>
                <w:sz w:val="19"/>
                <w:szCs w:val="19"/>
              </w:rPr>
              <w:t xml:space="preserve">What it is for</w:t>
            </w:r>
          </w:p>
        </w:tc>
      </w:tr>
      <w:tr>
        <w:trPr>
          <w:cantSplit/>
        </w:trPr>
        <w:tc>
          <w:tcPr>
            <w:tcW w:type="dxa" w:w="300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MicroscopeControlClient</w:t>
            </w:r>
          </w:p>
        </w:tc>
        <w:tc>
          <w:tcPr>
            <w:tcW w:type="dxa" w:w="6600"/>
            <w:tcMar>
              <w:top w:type="dxa" w:w="65"/>
              <w:left w:type="dxa" w:w="105"/>
              <w:bottom w:type="dxa" w:w="65"/>
              <w:right w:type="dxa" w:w="105"/>
            </w:tcMar>
          </w:tcPr>
          <w:p>
            <w:pPr>
              <w:spacing w:after="0" w:line="250"/>
            </w:pPr>
            <w:r>
              <w:rPr>
                <w:b w:val="false"/>
                <w:bCs w:val="false"/>
                <w:sz w:val="19"/>
                <w:szCs w:val="19"/>
              </w:rPr>
              <w:t xml:space="preserve">Everything a real instrument can also do: move the stage, set the beam, choose imaging or diffraction, set magnification or field of view, acquire, autofocus, set optics.</w:t>
            </w:r>
          </w:p>
        </w:tc>
      </w:tr>
      <w:tr>
        <w:trPr>
          <w:cantSplit/>
        </w:trPr>
        <w:tc>
          <w:tcPr>
            <w:tcW w:type="dxa" w:w="300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SimulationHarness</w:t>
            </w:r>
          </w:p>
        </w:tc>
        <w:tc>
          <w:tcPr>
            <w:tcW w:type="dxa" w:w="6600"/>
            <w:tcMar>
              <w:top w:type="dxa" w:w="65"/>
              <w:left w:type="dxa" w:w="105"/>
              <w:bottom w:type="dxa" w:w="65"/>
              <w:right w:type="dxa" w:w="105"/>
            </w:tcMar>
          </w:tcPr>
          <w:p>
            <w:pPr>
              <w:spacing w:after="0" w:line="250"/>
            </w:pPr>
            <w:r>
              <w:rPr>
                <w:b w:val="false"/>
                <w:bCs w:val="false"/>
                <w:sz w:val="19"/>
                <w:szCs w:val="19"/>
              </w:rPr>
              <w:t xml:space="preserve">Everything only a simulation can do: choose the specimen, set its thickness, inject drift and contamination, reset the accumulated dose map.</w:t>
            </w:r>
          </w:p>
        </w:tc>
      </w:tr>
    </w:tbl>
    <w:p>
      <w:pPr>
        <w:spacing w:after="150" w:line="290"/>
      </w:pPr>
      <w:r>
        <w:t xml:space="preserve">A workflow written against the control client alone carries no dependency on the simulation. That is what makes the boundary between testing and deployment explicit rather than assumed.</w:t>
      </w:r>
    </w:p>
    <w:p>
      <w:pPr>
        <w:pStyle w:val="Heading1"/>
        <w:spacing w:after="170" w:before="380"/>
      </w:pPr>
      <w:r>
        <w:rPr>
          <w:b/>
          <w:bCs/>
          <w:color w:val="1F3864"/>
          <w:sz w:val="28"/>
          <w:szCs w:val="28"/>
        </w:rPr>
        <w:t xml:space="preserve">3. The specimen</w:t>
      </w:r>
    </w:p>
    <w:p>
      <w:pPr>
        <w:pStyle w:val="Heading2"/>
        <w:spacing w:after="130" w:before="300"/>
      </w:pPr>
      <w:r>
        <w:rPr>
          <w:b/>
          <w:bCs/>
          <w:color w:val="2E5496"/>
          <w:sz w:val="23"/>
          <w:szCs w:val="23"/>
        </w:rPr>
        <w:t xml:space="preserve">3.1 Geometry</w:t>
      </w:r>
    </w:p>
    <w:p>
      <w:pPr>
        <w:spacing w:after="150" w:line="290"/>
      </w:pPr>
      <w:r>
        <w:t xml:space="preserve">Every specimen is generated within a volume spanning 20 µm laterally and 100 nm in depth. The working thickness and its position within that depth are chosen when the sample is loaded, so a session can be run on a thin region or a thick one. Thickness enters the image through mass-thickness contrast and enters diffraction through the width of the relrod.</w:t>
      </w:r>
    </w:p>
    <w:p>
      <w:pPr>
        <w:spacing w:after="150" w:line="290"/>
      </w:pPr>
      <w:r>
        <w:t xml:space="preserve">Beyond that, the specimens differ in their lateral extent. The single-crystal and dislocation models are FIB-lamella-like: a strip approximately 5 µm wide with vacuum beyond its edges, so driving the stage across it leaves the specimen, as it would on a real grid. The remaining models fill the field and have no edge to find.</w:t>
      </w:r>
    </w:p>
    <w:p>
      <w:pPr>
        <w:pStyle w:val="Heading2"/>
        <w:spacing w:after="130" w:before="300"/>
      </w:pPr>
      <w:r>
        <w:rPr>
          <w:b/>
          <w:bCs/>
          <w:color w:val="2E5496"/>
          <w:sz w:val="23"/>
          <w:szCs w:val="23"/>
        </w:rPr>
        <w:t xml:space="preserve">3.2 The samples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50"/>
        <w:gridCol w:w="3000"/>
        <w:gridCol w:w="2350"/>
        <w:gridCol w:w="1900"/>
      </w:tblGrid>
      <w:tr>
        <w:trPr>
          <w:tblHeader/>
        </w:trPr>
        <w:tc>
          <w:tcPr>
            <w:tcW w:type="dxa" w:w="2350"/>
            <w:shd w:fill="DEEAF6" w:val="clear"/>
            <w:tcMar>
              <w:top w:type="dxa" w:w="65"/>
              <w:left w:type="dxa" w:w="105"/>
              <w:bottom w:type="dxa" w:w="65"/>
              <w:right w:type="dxa" w:w="105"/>
            </w:tcMar>
          </w:tcPr>
          <w:p>
            <w:pPr>
              <w:spacing w:after="0" w:line="250"/>
            </w:pPr>
            <w:r>
              <w:rPr>
                <w:b/>
                <w:bCs/>
                <w:sz w:val="19"/>
                <w:szCs w:val="19"/>
              </w:rPr>
              <w:t xml:space="preserve">Identifier</w:t>
            </w:r>
          </w:p>
        </w:tc>
        <w:tc>
          <w:tcPr>
            <w:tcW w:type="dxa" w:w="3000"/>
            <w:shd w:fill="DEEAF6" w:val="clear"/>
            <w:tcMar>
              <w:top w:type="dxa" w:w="65"/>
              <w:left w:type="dxa" w:w="105"/>
              <w:bottom w:type="dxa" w:w="65"/>
              <w:right w:type="dxa" w:w="105"/>
            </w:tcMar>
          </w:tcPr>
          <w:p>
            <w:pPr>
              <w:spacing w:after="0" w:line="250"/>
            </w:pPr>
            <w:r>
              <w:rPr>
                <w:b/>
                <w:bCs/>
                <w:sz w:val="19"/>
                <w:szCs w:val="19"/>
              </w:rPr>
              <w:t xml:space="preserve">Specimen</w:t>
            </w:r>
          </w:p>
        </w:tc>
        <w:tc>
          <w:tcPr>
            <w:tcW w:type="dxa" w:w="2350"/>
            <w:shd w:fill="DEEAF6" w:val="clear"/>
            <w:tcMar>
              <w:top w:type="dxa" w:w="65"/>
              <w:left w:type="dxa" w:w="105"/>
              <w:bottom w:type="dxa" w:w="65"/>
              <w:right w:type="dxa" w:w="105"/>
            </w:tcMar>
          </w:tcPr>
          <w:p>
            <w:pPr>
              <w:spacing w:after="0" w:line="250"/>
            </w:pPr>
            <w:r>
              <w:rPr>
                <w:b/>
                <w:bCs/>
                <w:sz w:val="19"/>
                <w:szCs w:val="19"/>
              </w:rPr>
              <w:t xml:space="preserve">Class</w:t>
            </w:r>
          </w:p>
        </w:tc>
        <w:tc>
          <w:tcPr>
            <w:tcW w:type="dxa" w:w="1900"/>
            <w:shd w:fill="DEEAF6" w:val="clear"/>
            <w:tcMar>
              <w:top w:type="dxa" w:w="65"/>
              <w:left w:type="dxa" w:w="105"/>
              <w:bottom w:type="dxa" w:w="65"/>
              <w:right w:type="dxa" w:w="105"/>
            </w:tcMar>
          </w:tcPr>
          <w:p>
            <w:pPr>
              <w:spacing w:after="0" w:line="250"/>
            </w:pPr>
            <w:r>
              <w:rPr>
                <w:b/>
                <w:bCs/>
                <w:sz w:val="19"/>
                <w:szCs w:val="19"/>
              </w:rPr>
              <w:t xml:space="preserve">Finest feature (nm)</w:t>
            </w:r>
          </w:p>
        </w:tc>
      </w:tr>
      <w:tr>
        <w:trPr>
          <w:cantSplit/>
        </w:trPr>
        <w:tc>
          <w:tcPr>
            <w:tcW w:type="dxa" w:w="235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fcc_single_crystal</w:t>
            </w:r>
          </w:p>
        </w:tc>
        <w:tc>
          <w:tcPr>
            <w:tcW w:type="dxa" w:w="3000"/>
            <w:tcMar>
              <w:top w:type="dxa" w:w="65"/>
              <w:left w:type="dxa" w:w="105"/>
              <w:bottom w:type="dxa" w:w="65"/>
              <w:right w:type="dxa" w:w="105"/>
            </w:tcMar>
          </w:tcPr>
          <w:p>
            <w:pPr>
              <w:spacing w:after="0" w:line="250"/>
            </w:pPr>
            <w:r>
              <w:rPr>
                <w:b w:val="false"/>
                <w:bCs w:val="false"/>
                <w:sz w:val="19"/>
                <w:szCs w:val="19"/>
              </w:rPr>
              <w:t xml:space="preserve">Fe (FCC, γ-austenite)</w:t>
            </w:r>
          </w:p>
        </w:tc>
        <w:tc>
          <w:tcPr>
            <w:tcW w:type="dxa" w:w="2350"/>
            <w:tcMar>
              <w:top w:type="dxa" w:w="65"/>
              <w:left w:type="dxa" w:w="105"/>
              <w:bottom w:type="dxa" w:w="65"/>
              <w:right w:type="dxa" w:w="105"/>
            </w:tcMar>
          </w:tcPr>
          <w:p>
            <w:pPr>
              <w:spacing w:after="0" w:line="250"/>
            </w:pPr>
            <w:r>
              <w:rPr>
                <w:b w:val="false"/>
                <w:bCs w:val="false"/>
                <w:sz w:val="19"/>
                <w:szCs w:val="19"/>
              </w:rPr>
              <w:t xml:space="preserve">Single crystal</w:t>
            </w:r>
          </w:p>
        </w:tc>
        <w:tc>
          <w:tcPr>
            <w:tcW w:type="dxa" w:w="1900"/>
            <w:tcMar>
              <w:top w:type="dxa" w:w="65"/>
              <w:left w:type="dxa" w:w="105"/>
              <w:bottom w:type="dxa" w:w="65"/>
              <w:right w:type="dxa" w:w="105"/>
            </w:tcMar>
          </w:tcPr>
          <w:p>
            <w:pPr>
              <w:spacing w:after="0" w:line="250"/>
            </w:pPr>
            <w:r>
              <w:rPr>
                <w:b w:val="false"/>
                <w:bCs w:val="false"/>
                <w:sz w:val="19"/>
                <w:szCs w:val="19"/>
              </w:rPr>
              <w:t xml:space="preserve">0.20</w:t>
            </w:r>
          </w:p>
        </w:tc>
      </w:tr>
      <w:tr>
        <w:trPr>
          <w:cantSplit/>
        </w:trPr>
        <w:tc>
          <w:tcPr>
            <w:tcW w:type="dxa" w:w="235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bcc_single_crystal</w:t>
            </w:r>
          </w:p>
        </w:tc>
        <w:tc>
          <w:tcPr>
            <w:tcW w:type="dxa" w:w="3000"/>
            <w:tcMar>
              <w:top w:type="dxa" w:w="65"/>
              <w:left w:type="dxa" w:w="105"/>
              <w:bottom w:type="dxa" w:w="65"/>
              <w:right w:type="dxa" w:w="105"/>
            </w:tcMar>
          </w:tcPr>
          <w:p>
            <w:pPr>
              <w:spacing w:after="0" w:line="250"/>
            </w:pPr>
            <w:r>
              <w:rPr>
                <w:b w:val="false"/>
                <w:bCs w:val="false"/>
                <w:sz w:val="19"/>
                <w:szCs w:val="19"/>
              </w:rPr>
              <w:t xml:space="preserve">Fe (BCC, α-ferrite)</w:t>
            </w:r>
          </w:p>
        </w:tc>
        <w:tc>
          <w:tcPr>
            <w:tcW w:type="dxa" w:w="2350"/>
            <w:tcMar>
              <w:top w:type="dxa" w:w="65"/>
              <w:left w:type="dxa" w:w="105"/>
              <w:bottom w:type="dxa" w:w="65"/>
              <w:right w:type="dxa" w:w="105"/>
            </w:tcMar>
          </w:tcPr>
          <w:p>
            <w:pPr>
              <w:spacing w:after="0" w:line="250"/>
            </w:pPr>
            <w:r>
              <w:rPr>
                <w:b w:val="false"/>
                <w:bCs w:val="false"/>
                <w:sz w:val="19"/>
                <w:szCs w:val="19"/>
              </w:rPr>
              <w:t xml:space="preserve">Single crystal</w:t>
            </w:r>
          </w:p>
        </w:tc>
        <w:tc>
          <w:tcPr>
            <w:tcW w:type="dxa" w:w="1900"/>
            <w:tcMar>
              <w:top w:type="dxa" w:w="65"/>
              <w:left w:type="dxa" w:w="105"/>
              <w:bottom w:type="dxa" w:w="65"/>
              <w:right w:type="dxa" w:w="105"/>
            </w:tcMar>
          </w:tcPr>
          <w:p>
            <w:pPr>
              <w:spacing w:after="0" w:line="250"/>
            </w:pPr>
            <w:r>
              <w:rPr>
                <w:b w:val="false"/>
                <w:bCs w:val="false"/>
                <w:sz w:val="19"/>
                <w:szCs w:val="19"/>
              </w:rPr>
              <w:t xml:space="preserve">0.20</w:t>
            </w:r>
          </w:p>
        </w:tc>
      </w:tr>
      <w:tr>
        <w:trPr>
          <w:cantSplit/>
        </w:trPr>
        <w:tc>
          <w:tcPr>
            <w:tcW w:type="dxa" w:w="235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hcp_single_crystal</w:t>
            </w:r>
          </w:p>
        </w:tc>
        <w:tc>
          <w:tcPr>
            <w:tcW w:type="dxa" w:w="3000"/>
            <w:tcMar>
              <w:top w:type="dxa" w:w="65"/>
              <w:left w:type="dxa" w:w="105"/>
              <w:bottom w:type="dxa" w:w="65"/>
              <w:right w:type="dxa" w:w="105"/>
            </w:tcMar>
          </w:tcPr>
          <w:p>
            <w:pPr>
              <w:spacing w:after="0" w:line="250"/>
            </w:pPr>
            <w:r>
              <w:rPr>
                <w:b w:val="false"/>
                <w:bCs w:val="false"/>
                <w:sz w:val="19"/>
                <w:szCs w:val="19"/>
              </w:rPr>
              <w:t xml:space="preserve">Mg (HCP)</w:t>
            </w:r>
          </w:p>
        </w:tc>
        <w:tc>
          <w:tcPr>
            <w:tcW w:type="dxa" w:w="2350"/>
            <w:tcMar>
              <w:top w:type="dxa" w:w="65"/>
              <w:left w:type="dxa" w:w="105"/>
              <w:bottom w:type="dxa" w:w="65"/>
              <w:right w:type="dxa" w:w="105"/>
            </w:tcMar>
          </w:tcPr>
          <w:p>
            <w:pPr>
              <w:spacing w:after="0" w:line="250"/>
            </w:pPr>
            <w:r>
              <w:rPr>
                <w:b w:val="false"/>
                <w:bCs w:val="false"/>
                <w:sz w:val="19"/>
                <w:szCs w:val="19"/>
              </w:rPr>
              <w:t xml:space="preserve">Single crystal</w:t>
            </w:r>
          </w:p>
        </w:tc>
        <w:tc>
          <w:tcPr>
            <w:tcW w:type="dxa" w:w="1900"/>
            <w:tcMar>
              <w:top w:type="dxa" w:w="65"/>
              <w:left w:type="dxa" w:w="105"/>
              <w:bottom w:type="dxa" w:w="65"/>
              <w:right w:type="dxa" w:w="105"/>
            </w:tcMar>
          </w:tcPr>
          <w:p>
            <w:pPr>
              <w:spacing w:after="0" w:line="250"/>
            </w:pPr>
            <w:r>
              <w:rPr>
                <w:b w:val="false"/>
                <w:bCs w:val="false"/>
                <w:sz w:val="19"/>
                <w:szCs w:val="19"/>
              </w:rPr>
              <w:t xml:space="preserve">0.20</w:t>
            </w:r>
          </w:p>
        </w:tc>
      </w:tr>
      <w:tr>
        <w:trPr>
          <w:cantSplit/>
        </w:trPr>
        <w:tc>
          <w:tcPr>
            <w:tcW w:type="dxa" w:w="235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polycrystal_grains</w:t>
            </w:r>
          </w:p>
        </w:tc>
        <w:tc>
          <w:tcPr>
            <w:tcW w:type="dxa" w:w="3000"/>
            <w:tcMar>
              <w:top w:type="dxa" w:w="65"/>
              <w:left w:type="dxa" w:w="105"/>
              <w:bottom w:type="dxa" w:w="65"/>
              <w:right w:type="dxa" w:w="105"/>
            </w:tcMar>
          </w:tcPr>
          <w:p>
            <w:pPr>
              <w:spacing w:after="0" w:line="250"/>
            </w:pPr>
            <w:r>
              <w:rPr>
                <w:b w:val="false"/>
                <w:bCs w:val="false"/>
                <w:sz w:val="19"/>
                <w:szCs w:val="19"/>
              </w:rPr>
              <w:t xml:space="preserve">Polycrystal (Fe FCC, few grains)</w:t>
            </w:r>
          </w:p>
        </w:tc>
        <w:tc>
          <w:tcPr>
            <w:tcW w:type="dxa" w:w="2350"/>
            <w:tcMar>
              <w:top w:type="dxa" w:w="65"/>
              <w:left w:type="dxa" w:w="105"/>
              <w:bottom w:type="dxa" w:w="65"/>
              <w:right w:type="dxa" w:w="105"/>
            </w:tcMar>
          </w:tcPr>
          <w:p>
            <w:pPr>
              <w:spacing w:after="0" w:line="250"/>
            </w:pPr>
            <w:r>
              <w:rPr>
                <w:b w:val="false"/>
                <w:bCs w:val="false"/>
                <w:sz w:val="19"/>
                <w:szCs w:val="19"/>
              </w:rPr>
              <w:t xml:space="preserve">Multi-grain</w:t>
            </w:r>
          </w:p>
        </w:tc>
        <w:tc>
          <w:tcPr>
            <w:tcW w:type="dxa" w:w="1900"/>
            <w:tcMar>
              <w:top w:type="dxa" w:w="65"/>
              <w:left w:type="dxa" w:w="105"/>
              <w:bottom w:type="dxa" w:w="65"/>
              <w:right w:type="dxa" w:w="105"/>
            </w:tcMar>
          </w:tcPr>
          <w:p>
            <w:pPr>
              <w:spacing w:after="0" w:line="250"/>
            </w:pPr>
            <w:r>
              <w:rPr>
                <w:b w:val="false"/>
                <w:bCs w:val="false"/>
                <w:sz w:val="19"/>
                <w:szCs w:val="19"/>
              </w:rPr>
              <w:t xml:space="preserve">0.25</w:t>
            </w:r>
          </w:p>
        </w:tc>
      </w:tr>
      <w:tr>
        <w:trPr>
          <w:cantSplit/>
        </w:trPr>
        <w:tc>
          <w:tcPr>
            <w:tcW w:type="dxa" w:w="235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dislocation_crystal</w:t>
            </w:r>
          </w:p>
        </w:tc>
        <w:tc>
          <w:tcPr>
            <w:tcW w:type="dxa" w:w="3000"/>
            <w:tcMar>
              <w:top w:type="dxa" w:w="65"/>
              <w:left w:type="dxa" w:w="105"/>
              <w:bottom w:type="dxa" w:w="65"/>
              <w:right w:type="dxa" w:w="105"/>
            </w:tcMar>
          </w:tcPr>
          <w:p>
            <w:pPr>
              <w:spacing w:after="0" w:line="250"/>
            </w:pPr>
            <w:r>
              <w:rPr>
                <w:b w:val="false"/>
                <w:bCs w:val="false"/>
                <w:sz w:val="19"/>
                <w:szCs w:val="19"/>
              </w:rPr>
              <w:t xml:space="preserve">Fe FCC [111] with edge dislocations</w:t>
            </w:r>
          </w:p>
        </w:tc>
        <w:tc>
          <w:tcPr>
            <w:tcW w:type="dxa" w:w="2350"/>
            <w:tcMar>
              <w:top w:type="dxa" w:w="65"/>
              <w:left w:type="dxa" w:w="105"/>
              <w:bottom w:type="dxa" w:w="65"/>
              <w:right w:type="dxa" w:w="105"/>
            </w:tcMar>
          </w:tcPr>
          <w:p>
            <w:pPr>
              <w:spacing w:after="0" w:line="250"/>
            </w:pPr>
            <w:r>
              <w:rPr>
                <w:b w:val="false"/>
                <w:bCs w:val="false"/>
                <w:sz w:val="19"/>
                <w:szCs w:val="19"/>
              </w:rPr>
              <w:t xml:space="preserve">Defected crystal</w:t>
            </w:r>
          </w:p>
        </w:tc>
        <w:tc>
          <w:tcPr>
            <w:tcW w:type="dxa" w:w="1900"/>
            <w:tcMar>
              <w:top w:type="dxa" w:w="65"/>
              <w:left w:type="dxa" w:w="105"/>
              <w:bottom w:type="dxa" w:w="65"/>
              <w:right w:type="dxa" w:w="105"/>
            </w:tcMar>
          </w:tcPr>
          <w:p>
            <w:pPr>
              <w:spacing w:after="0" w:line="250"/>
            </w:pPr>
            <w:r>
              <w:rPr>
                <w:b w:val="false"/>
                <w:bCs w:val="false"/>
                <w:sz w:val="19"/>
                <w:szCs w:val="19"/>
              </w:rPr>
              <w:t xml:space="preserve">0.25</w:t>
            </w:r>
          </w:p>
        </w:tc>
      </w:tr>
      <w:tr>
        <w:trPr>
          <w:cantSplit/>
        </w:trPr>
        <w:tc>
          <w:tcPr>
            <w:tcW w:type="dxa" w:w="235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amorphous_film</w:t>
            </w:r>
          </w:p>
        </w:tc>
        <w:tc>
          <w:tcPr>
            <w:tcW w:type="dxa" w:w="3000"/>
            <w:tcMar>
              <w:top w:type="dxa" w:w="65"/>
              <w:left w:type="dxa" w:w="105"/>
              <w:bottom w:type="dxa" w:w="65"/>
              <w:right w:type="dxa" w:w="105"/>
            </w:tcMar>
          </w:tcPr>
          <w:p>
            <w:pPr>
              <w:spacing w:after="0" w:line="250"/>
            </w:pPr>
            <w:r>
              <w:rPr>
                <w:b w:val="false"/>
                <w:bCs w:val="false"/>
                <w:sz w:val="19"/>
                <w:szCs w:val="19"/>
              </w:rPr>
              <w:t xml:space="preserve">Amorphous film</w:t>
            </w:r>
          </w:p>
        </w:tc>
        <w:tc>
          <w:tcPr>
            <w:tcW w:type="dxa" w:w="2350"/>
            <w:tcMar>
              <w:top w:type="dxa" w:w="65"/>
              <w:left w:type="dxa" w:w="105"/>
              <w:bottom w:type="dxa" w:w="65"/>
              <w:right w:type="dxa" w:w="105"/>
            </w:tcMar>
          </w:tcPr>
          <w:p>
            <w:pPr>
              <w:spacing w:after="0" w:line="250"/>
            </w:pPr>
            <w:r>
              <w:rPr>
                <w:b w:val="false"/>
                <w:bCs w:val="false"/>
                <w:sz w:val="19"/>
                <w:szCs w:val="19"/>
              </w:rPr>
              <w:t xml:space="preserve">Amorphous</w:t>
            </w:r>
          </w:p>
        </w:tc>
        <w:tc>
          <w:tcPr>
            <w:tcW w:type="dxa" w:w="1900"/>
            <w:tcMar>
              <w:top w:type="dxa" w:w="65"/>
              <w:left w:type="dxa" w:w="105"/>
              <w:bottom w:type="dxa" w:w="65"/>
              <w:right w:type="dxa" w:w="105"/>
            </w:tcMar>
          </w:tcPr>
          <w:p>
            <w:pPr>
              <w:spacing w:after="0" w:line="250"/>
            </w:pPr>
            <w:r>
              <w:rPr>
                <w:b w:val="false"/>
                <w:bCs w:val="false"/>
                <w:sz w:val="19"/>
                <w:szCs w:val="19"/>
              </w:rPr>
              <w:t xml:space="preserve">0.30</w:t>
            </w:r>
          </w:p>
        </w:tc>
      </w:tr>
      <w:tr>
        <w:trPr>
          <w:cantSplit/>
        </w:trPr>
        <w:tc>
          <w:tcPr>
            <w:tcW w:type="dxa" w:w="235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au_dispersed</w:t>
            </w:r>
          </w:p>
        </w:tc>
        <w:tc>
          <w:tcPr>
            <w:tcW w:type="dxa" w:w="3000"/>
            <w:tcMar>
              <w:top w:type="dxa" w:w="65"/>
              <w:left w:type="dxa" w:w="105"/>
              <w:bottom w:type="dxa" w:w="65"/>
              <w:right w:type="dxa" w:w="105"/>
            </w:tcMar>
          </w:tcPr>
          <w:p>
            <w:pPr>
              <w:spacing w:after="0" w:line="250"/>
            </w:pPr>
            <w:r>
              <w:rPr>
                <w:b w:val="false"/>
                <w:bCs w:val="false"/>
                <w:sz w:val="19"/>
                <w:szCs w:val="19"/>
              </w:rPr>
              <w:t xml:space="preserve">Au nanoparticles, dispersed</w:t>
            </w:r>
          </w:p>
        </w:tc>
        <w:tc>
          <w:tcPr>
            <w:tcW w:type="dxa" w:w="2350"/>
            <w:tcMar>
              <w:top w:type="dxa" w:w="65"/>
              <w:left w:type="dxa" w:w="105"/>
              <w:bottom w:type="dxa" w:w="65"/>
              <w:right w:type="dxa" w:w="105"/>
            </w:tcMar>
          </w:tcPr>
          <w:p>
            <w:pPr>
              <w:spacing w:after="0" w:line="250"/>
            </w:pPr>
            <w:r>
              <w:rPr>
                <w:b w:val="false"/>
                <w:bCs w:val="false"/>
                <w:sz w:val="19"/>
                <w:szCs w:val="19"/>
              </w:rPr>
              <w:t xml:space="preserve">Nanoparticle</w:t>
            </w:r>
          </w:p>
        </w:tc>
        <w:tc>
          <w:tcPr>
            <w:tcW w:type="dxa" w:w="1900"/>
            <w:tcMar>
              <w:top w:type="dxa" w:w="65"/>
              <w:left w:type="dxa" w:w="105"/>
              <w:bottom w:type="dxa" w:w="65"/>
              <w:right w:type="dxa" w:w="105"/>
            </w:tcMar>
          </w:tcPr>
          <w:p>
            <w:pPr>
              <w:spacing w:after="0" w:line="250"/>
            </w:pPr>
            <w:r>
              <w:rPr>
                <w:b w:val="false"/>
                <w:bCs w:val="false"/>
                <w:sz w:val="19"/>
                <w:szCs w:val="19"/>
              </w:rPr>
              <w:t xml:space="preserve">2.0</w:t>
            </w:r>
          </w:p>
        </w:tc>
      </w:tr>
      <w:tr>
        <w:trPr>
          <w:cantSplit/>
        </w:trPr>
        <w:tc>
          <w:tcPr>
            <w:tcW w:type="dxa" w:w="235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au_clustered</w:t>
            </w:r>
          </w:p>
        </w:tc>
        <w:tc>
          <w:tcPr>
            <w:tcW w:type="dxa" w:w="3000"/>
            <w:tcMar>
              <w:top w:type="dxa" w:w="65"/>
              <w:left w:type="dxa" w:w="105"/>
              <w:bottom w:type="dxa" w:w="65"/>
              <w:right w:type="dxa" w:w="105"/>
            </w:tcMar>
          </w:tcPr>
          <w:p>
            <w:pPr>
              <w:spacing w:after="0" w:line="250"/>
            </w:pPr>
            <w:r>
              <w:rPr>
                <w:b w:val="false"/>
                <w:bCs w:val="false"/>
                <w:sz w:val="19"/>
                <w:szCs w:val="19"/>
              </w:rPr>
              <w:t xml:space="preserve">Au nanoparticles, clustered</w:t>
            </w:r>
          </w:p>
        </w:tc>
        <w:tc>
          <w:tcPr>
            <w:tcW w:type="dxa" w:w="2350"/>
            <w:tcMar>
              <w:top w:type="dxa" w:w="65"/>
              <w:left w:type="dxa" w:w="105"/>
              <w:bottom w:type="dxa" w:w="65"/>
              <w:right w:type="dxa" w:w="105"/>
            </w:tcMar>
          </w:tcPr>
          <w:p>
            <w:pPr>
              <w:spacing w:after="0" w:line="250"/>
            </w:pPr>
            <w:r>
              <w:rPr>
                <w:b w:val="false"/>
                <w:bCs w:val="false"/>
                <w:sz w:val="19"/>
                <w:szCs w:val="19"/>
              </w:rPr>
              <w:t xml:space="preserve">Nanoparticle</w:t>
            </w:r>
          </w:p>
        </w:tc>
        <w:tc>
          <w:tcPr>
            <w:tcW w:type="dxa" w:w="1900"/>
            <w:tcMar>
              <w:top w:type="dxa" w:w="65"/>
              <w:left w:type="dxa" w:w="105"/>
              <w:bottom w:type="dxa" w:w="65"/>
              <w:right w:type="dxa" w:w="105"/>
            </w:tcMar>
          </w:tcPr>
          <w:p>
            <w:pPr>
              <w:spacing w:after="0" w:line="250"/>
            </w:pPr>
            <w:r>
              <w:rPr>
                <w:b w:val="false"/>
                <w:bCs w:val="false"/>
                <w:sz w:val="19"/>
                <w:szCs w:val="19"/>
              </w:rPr>
              <w:t xml:space="preserve">2.0</w:t>
            </w:r>
          </w:p>
        </w:tc>
      </w:tr>
      <w:tr>
        <w:trPr>
          <w:cantSplit/>
        </w:trPr>
        <w:tc>
          <w:tcPr>
            <w:tcW w:type="dxa" w:w="235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au_bimodal</w:t>
            </w:r>
          </w:p>
        </w:tc>
        <w:tc>
          <w:tcPr>
            <w:tcW w:type="dxa" w:w="3000"/>
            <w:tcMar>
              <w:top w:type="dxa" w:w="65"/>
              <w:left w:type="dxa" w:w="105"/>
              <w:bottom w:type="dxa" w:w="65"/>
              <w:right w:type="dxa" w:w="105"/>
            </w:tcMar>
          </w:tcPr>
          <w:p>
            <w:pPr>
              <w:spacing w:after="0" w:line="250"/>
            </w:pPr>
            <w:r>
              <w:rPr>
                <w:b w:val="false"/>
                <w:bCs w:val="false"/>
                <w:sz w:val="19"/>
                <w:szCs w:val="19"/>
              </w:rPr>
              <w:t xml:space="preserve">Au nanoparticles, bimodal size</w:t>
            </w:r>
          </w:p>
        </w:tc>
        <w:tc>
          <w:tcPr>
            <w:tcW w:type="dxa" w:w="2350"/>
            <w:tcMar>
              <w:top w:type="dxa" w:w="65"/>
              <w:left w:type="dxa" w:w="105"/>
              <w:bottom w:type="dxa" w:w="65"/>
              <w:right w:type="dxa" w:w="105"/>
            </w:tcMar>
          </w:tcPr>
          <w:p>
            <w:pPr>
              <w:spacing w:after="0" w:line="250"/>
            </w:pPr>
            <w:r>
              <w:rPr>
                <w:b w:val="false"/>
                <w:bCs w:val="false"/>
                <w:sz w:val="19"/>
                <w:szCs w:val="19"/>
              </w:rPr>
              <w:t xml:space="preserve">Nanoparticle</w:t>
            </w:r>
          </w:p>
        </w:tc>
        <w:tc>
          <w:tcPr>
            <w:tcW w:type="dxa" w:w="1900"/>
            <w:tcMar>
              <w:top w:type="dxa" w:w="65"/>
              <w:left w:type="dxa" w:w="105"/>
              <w:bottom w:type="dxa" w:w="65"/>
              <w:right w:type="dxa" w:w="105"/>
            </w:tcMar>
          </w:tcPr>
          <w:p>
            <w:pPr>
              <w:spacing w:after="0" w:line="250"/>
            </w:pPr>
            <w:r>
              <w:rPr>
                <w:b w:val="false"/>
                <w:bCs w:val="false"/>
                <w:sz w:val="19"/>
                <w:szCs w:val="19"/>
              </w:rPr>
              <w:t xml:space="preserve">1.5</w:t>
            </w:r>
          </w:p>
        </w:tc>
      </w:tr>
      <w:tr>
        <w:trPr>
          <w:cantSplit/>
        </w:trPr>
        <w:tc>
          <w:tcPr>
            <w:tcW w:type="dxa" w:w="235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au_on_substrate</w:t>
            </w:r>
          </w:p>
        </w:tc>
        <w:tc>
          <w:tcPr>
            <w:tcW w:type="dxa" w:w="3000"/>
            <w:tcMar>
              <w:top w:type="dxa" w:w="65"/>
              <w:left w:type="dxa" w:w="105"/>
              <w:bottom w:type="dxa" w:w="65"/>
              <w:right w:type="dxa" w:w="105"/>
            </w:tcMar>
          </w:tcPr>
          <w:p>
            <w:pPr>
              <w:spacing w:after="0" w:line="250"/>
            </w:pPr>
            <w:r>
              <w:rPr>
                <w:b w:val="false"/>
                <w:bCs w:val="false"/>
                <w:sz w:val="19"/>
                <w:szCs w:val="19"/>
              </w:rPr>
              <w:t xml:space="preserve">Au on substrate (supported catalyst)</w:t>
            </w:r>
          </w:p>
        </w:tc>
        <w:tc>
          <w:tcPr>
            <w:tcW w:type="dxa" w:w="2350"/>
            <w:tcMar>
              <w:top w:type="dxa" w:w="65"/>
              <w:left w:type="dxa" w:w="105"/>
              <w:bottom w:type="dxa" w:w="65"/>
              <w:right w:type="dxa" w:w="105"/>
            </w:tcMar>
          </w:tcPr>
          <w:p>
            <w:pPr>
              <w:spacing w:after="0" w:line="250"/>
            </w:pPr>
            <w:r>
              <w:rPr>
                <w:b w:val="false"/>
                <w:bCs w:val="false"/>
                <w:sz w:val="19"/>
                <w:szCs w:val="19"/>
              </w:rPr>
              <w:t xml:space="preserve">Nanoparticle</w:t>
            </w:r>
          </w:p>
        </w:tc>
        <w:tc>
          <w:tcPr>
            <w:tcW w:type="dxa" w:w="1900"/>
            <w:tcMar>
              <w:top w:type="dxa" w:w="65"/>
              <w:left w:type="dxa" w:w="105"/>
              <w:bottom w:type="dxa" w:w="65"/>
              <w:right w:type="dxa" w:w="105"/>
            </w:tcMar>
          </w:tcPr>
          <w:p>
            <w:pPr>
              <w:spacing w:after="0" w:line="250"/>
            </w:pPr>
            <w:r>
              <w:rPr>
                <w:b w:val="false"/>
                <w:bCs w:val="false"/>
                <w:sz w:val="19"/>
                <w:szCs w:val="19"/>
              </w:rPr>
              <w:t xml:space="preserve">2.0</w:t>
            </w:r>
          </w:p>
        </w:tc>
      </w:tr>
      <w:tr>
        <w:trPr>
          <w:cantSplit/>
        </w:trPr>
        <w:tc>
          <w:tcPr>
            <w:tcW w:type="dxa" w:w="235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core_shell</w:t>
            </w:r>
          </w:p>
        </w:tc>
        <w:tc>
          <w:tcPr>
            <w:tcW w:type="dxa" w:w="3000"/>
            <w:tcMar>
              <w:top w:type="dxa" w:w="65"/>
              <w:left w:type="dxa" w:w="105"/>
              <w:bottom w:type="dxa" w:w="65"/>
              <w:right w:type="dxa" w:w="105"/>
            </w:tcMar>
          </w:tcPr>
          <w:p>
            <w:pPr>
              <w:spacing w:after="0" w:line="250"/>
            </w:pPr>
            <w:r>
              <w:rPr>
                <w:b w:val="false"/>
                <w:bCs w:val="false"/>
                <w:sz w:val="19"/>
                <w:szCs w:val="19"/>
              </w:rPr>
              <w:t xml:space="preserve">Core–shell nanoparticles</w:t>
            </w:r>
          </w:p>
        </w:tc>
        <w:tc>
          <w:tcPr>
            <w:tcW w:type="dxa" w:w="2350"/>
            <w:tcMar>
              <w:top w:type="dxa" w:w="65"/>
              <w:left w:type="dxa" w:w="105"/>
              <w:bottom w:type="dxa" w:w="65"/>
              <w:right w:type="dxa" w:w="105"/>
            </w:tcMar>
          </w:tcPr>
          <w:p>
            <w:pPr>
              <w:spacing w:after="0" w:line="250"/>
            </w:pPr>
            <w:r>
              <w:rPr>
                <w:b w:val="false"/>
                <w:bCs w:val="false"/>
                <w:sz w:val="19"/>
                <w:szCs w:val="19"/>
              </w:rPr>
              <w:t xml:space="preserve">Nanoparticle</w:t>
            </w:r>
          </w:p>
        </w:tc>
        <w:tc>
          <w:tcPr>
            <w:tcW w:type="dxa" w:w="1900"/>
            <w:tcMar>
              <w:top w:type="dxa" w:w="65"/>
              <w:left w:type="dxa" w:w="105"/>
              <w:bottom w:type="dxa" w:w="65"/>
              <w:right w:type="dxa" w:w="105"/>
            </w:tcMar>
          </w:tcPr>
          <w:p>
            <w:pPr>
              <w:spacing w:after="0" w:line="250"/>
            </w:pPr>
            <w:r>
              <w:rPr>
                <w:b w:val="false"/>
                <w:bCs w:val="false"/>
                <w:sz w:val="19"/>
                <w:szCs w:val="19"/>
              </w:rPr>
              <w:t xml:space="preserve">1.0</w:t>
            </w:r>
          </w:p>
        </w:tc>
      </w:tr>
      <w:tr>
        <w:trPr>
          <w:cantSplit/>
        </w:trPr>
        <w:tc>
          <w:tcPr>
            <w:tcW w:type="dxa" w:w="235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shape_assembly</w:t>
            </w:r>
          </w:p>
        </w:tc>
        <w:tc>
          <w:tcPr>
            <w:tcW w:type="dxa" w:w="3000"/>
            <w:tcMar>
              <w:top w:type="dxa" w:w="65"/>
              <w:left w:type="dxa" w:w="105"/>
              <w:bottom w:type="dxa" w:w="65"/>
              <w:right w:type="dxa" w:w="105"/>
            </w:tcMar>
          </w:tcPr>
          <w:p>
            <w:pPr>
              <w:spacing w:after="0" w:line="250"/>
            </w:pPr>
            <w:r>
              <w:rPr>
                <w:b w:val="false"/>
                <w:bCs w:val="false"/>
                <w:sz w:val="19"/>
                <w:szCs w:val="19"/>
              </w:rPr>
              <w:t xml:space="preserve">Synthetic convex features</w:t>
            </w:r>
          </w:p>
        </w:tc>
        <w:tc>
          <w:tcPr>
            <w:tcW w:type="dxa" w:w="2350"/>
            <w:tcMar>
              <w:top w:type="dxa" w:w="65"/>
              <w:left w:type="dxa" w:w="105"/>
              <w:bottom w:type="dxa" w:w="65"/>
              <w:right w:type="dxa" w:w="105"/>
            </w:tcMar>
          </w:tcPr>
          <w:p>
            <w:pPr>
              <w:spacing w:after="0" w:line="250"/>
            </w:pPr>
            <w:r>
              <w:rPr>
                <w:b w:val="false"/>
                <w:bCs w:val="false"/>
                <w:sz w:val="19"/>
                <w:szCs w:val="19"/>
              </w:rPr>
              <w:t xml:space="preserve">Feature testbed</w:t>
            </w:r>
          </w:p>
        </w:tc>
        <w:tc>
          <w:tcPr>
            <w:tcW w:type="dxa" w:w="1900"/>
            <w:tcMar>
              <w:top w:type="dxa" w:w="65"/>
              <w:left w:type="dxa" w:w="105"/>
              <w:bottom w:type="dxa" w:w="65"/>
              <w:right w:type="dxa" w:w="105"/>
            </w:tcMar>
          </w:tcPr>
          <w:p>
            <w:pPr>
              <w:spacing w:after="0" w:line="250"/>
            </w:pPr>
            <w:r>
              <w:rPr>
                <w:b w:val="false"/>
                <w:bCs w:val="false"/>
                <w:sz w:val="19"/>
                <w:szCs w:val="19"/>
              </w:rPr>
              <w:t xml:space="preserve">30.0</w:t>
            </w:r>
          </w:p>
        </w:tc>
      </w:tr>
      <w:tr>
        <w:trPr>
          <w:cantSplit/>
        </w:trPr>
        <w:tc>
          <w:tcPr>
            <w:tcW w:type="dxa" w:w="235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atomsk_polycrystal</w:t>
            </w:r>
          </w:p>
        </w:tc>
        <w:tc>
          <w:tcPr>
            <w:tcW w:type="dxa" w:w="3000"/>
            <w:tcMar>
              <w:top w:type="dxa" w:w="65"/>
              <w:left w:type="dxa" w:w="105"/>
              <w:bottom w:type="dxa" w:w="65"/>
              <w:right w:type="dxa" w:w="105"/>
            </w:tcMar>
          </w:tcPr>
          <w:p>
            <w:pPr>
              <w:spacing w:after="0" w:line="250"/>
            </w:pPr>
            <w:r>
              <w:rPr>
                <w:b w:val="false"/>
                <w:bCs w:val="false"/>
                <w:sz w:val="19"/>
                <w:szCs w:val="19"/>
              </w:rPr>
              <w:t xml:space="preserve">File-driven (Atomsk / LAMMPS / XYZ / CIF)</w:t>
            </w:r>
          </w:p>
        </w:tc>
        <w:tc>
          <w:tcPr>
            <w:tcW w:type="dxa" w:w="2350"/>
            <w:tcMar>
              <w:top w:type="dxa" w:w="65"/>
              <w:left w:type="dxa" w:w="105"/>
              <w:bottom w:type="dxa" w:w="65"/>
              <w:right w:type="dxa" w:w="105"/>
            </w:tcMar>
          </w:tcPr>
          <w:p>
            <w:pPr>
              <w:spacing w:after="0" w:line="250"/>
            </w:pPr>
            <w:r>
              <w:rPr>
                <w:b w:val="false"/>
                <w:bCs w:val="false"/>
                <w:sz w:val="19"/>
                <w:szCs w:val="19"/>
              </w:rPr>
              <w:t xml:space="preserve">External structure</w:t>
            </w:r>
          </w:p>
        </w:tc>
        <w:tc>
          <w:tcPr>
            <w:tcW w:type="dxa" w:w="1900"/>
            <w:tcMar>
              <w:top w:type="dxa" w:w="65"/>
              <w:left w:type="dxa" w:w="105"/>
              <w:bottom w:type="dxa" w:w="65"/>
              <w:right w:type="dxa" w:w="105"/>
            </w:tcMar>
          </w:tcPr>
          <w:p>
            <w:pPr>
              <w:spacing w:after="0" w:line="250"/>
            </w:pPr>
            <w:r>
              <w:rPr>
                <w:b w:val="false"/>
                <w:bCs w:val="false"/>
                <w:sz w:val="19"/>
                <w:szCs w:val="19"/>
              </w:rPr>
              <w:t xml:space="preserve">—</w:t>
            </w:r>
          </w:p>
        </w:tc>
      </w:tr>
    </w:tbl>
    <w:p>
      <w:pPr>
        <w:spacing w:after="150" w:line="290"/>
      </w:pPr>
      <w:r>
        <w:t xml:space="preserve">The last column matters for magnification. Each sample declares the size of its finest real detail, and the renderer will not show detail below it. Resolving a 0.2 nm lattice therefore requires genuinely high magnification, at which point drift and dose become the limiting factors, exactly as on an instrument.</w:t>
      </w:r>
    </w:p>
    <w:p>
      <w:pPr>
        <w:pStyle w:val="Heading2"/>
        <w:spacing w:after="130" w:before="300"/>
      </w:pPr>
      <w:r>
        <w:rPr>
          <w:b/>
          <w:bCs/>
          <w:color w:val="2E5496"/>
          <w:sz w:val="23"/>
          <w:szCs w:val="23"/>
        </w:rPr>
        <w:t xml:space="preserve">3.3 One definition of the specimen</w:t>
      </w:r>
    </w:p>
    <w:p>
      <w:pPr>
        <w:spacing w:after="150" w:line="290"/>
      </w:pPr>
      <w:r>
        <w:t xml:space="preserve">Every sample implements a single method:</w:t>
      </w:r>
    </w:p>
    <w:p>
      <w:pPr>
        <w:pBdr>
          <w:left w:val="single" w:color="D0D0D0" w:sz="12" w:space="10"/>
        </w:pBdr>
        <w:shd w:fill="F5F5F5" w:val="clear"/>
        <w:spacing w:after="160" w:before="100" w:line="265"/>
        <w:ind w:left="200"/>
      </w:pPr>
      <w:r>
        <w:rPr>
          <w:rFonts w:ascii="Consolas" w:cs="Consolas" w:eastAsia="Consolas" w:hAnsi="Consolas"/>
          <w:sz w:val="18"/>
          <w:szCs w:val="18"/>
        </w:rPr>
        <w:t xml:space="preserve">positions_A, Z = sample.get_atoms_in_region(cx_um, cy_um, half_width_um, depth_nm)</w:t>
      </w:r>
    </w:p>
    <w:p>
      <w:pPr>
        <w:spacing w:after="150" w:line="290"/>
      </w:pPr>
      <w:r>
        <w:t xml:space="preserve">Anything needing the specimen’s atoms goes through it: diffraction, composition, and the offline multislice appendix. There is one source of truth for what a sample is, so no two parts of the system can disagree about it.</w:t>
      </w:r>
    </w:p>
    <w:p>
      <w:pPr>
        <w:pStyle w:val="Heading2"/>
        <w:spacing w:after="130" w:before="300"/>
      </w:pPr>
      <w:r>
        <w:rPr>
          <w:b/>
          <w:bCs/>
          <w:color w:val="2E5496"/>
          <w:sz w:val="23"/>
          <w:szCs w:val="23"/>
        </w:rPr>
        <w:t xml:space="preserve">3.4 Roaming</w:t>
      </w:r>
    </w:p>
    <w:p>
      <w:pPr>
        <w:spacing w:after="150" w:line="290"/>
      </w:pPr>
      <w:r>
        <w:t xml:space="preserve">The stage and accumulated drift both act in absolute coordinates, so a workflow driven back to a nominal position finds the field displaced by whatever drift occurred. Neither stops at a boundary.</w:t>
      </w:r>
    </w:p>
    <w:p>
      <w:pPr>
        <w:spacing w:after="150" w:line="290"/>
      </w:pPr>
      <w:r>
        <w:t xml:space="preserve">Twelve of the thirteen samples treat their volume as one tile of a repeating specimen, with a period of 20 µm. The stage therefore never runs out of specimen, but structure recurs beyond that range: a scan wider than 20 µm, or a grid whose extent exceeds it, will revisit ground it has already covered. The synthetic-feature testbed generates from a position hash instead, so it never repeats — drive away and back and the same features are there, because they were never stored.</w:t>
      </w:r>
    </w:p>
    <w:p>
      <w:pPr>
        <w:pStyle w:val="Heading1"/>
        <w:spacing w:after="170" w:before="380"/>
      </w:pPr>
      <w:r>
        <w:rPr>
          <w:b/>
          <w:bCs/>
          <w:color w:val="1F3864"/>
          <w:sz w:val="28"/>
          <w:szCs w:val="28"/>
        </w:rPr>
        <w:t xml:space="preserve">4. Forming an image</w:t>
      </w:r>
    </w:p>
    <w:p>
      <w:pPr>
        <w:spacing w:after="150" w:line="290"/>
      </w:pPr>
      <w:r>
        <w:t xml:space="preserve">The render path, in order: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50"/>
        <w:gridCol w:w="7250"/>
      </w:tblGrid>
      <w:tr>
        <w:trPr>
          <w:tblHeader/>
        </w:trPr>
        <w:tc>
          <w:tcPr>
            <w:tcW w:type="dxa" w:w="2350"/>
            <w:shd w:fill="DEEAF6" w:val="clear"/>
            <w:tcMar>
              <w:top w:type="dxa" w:w="65"/>
              <w:left w:type="dxa" w:w="105"/>
              <w:bottom w:type="dxa" w:w="65"/>
              <w:right w:type="dxa" w:w="105"/>
            </w:tcMar>
          </w:tcPr>
          <w:p>
            <w:pPr>
              <w:spacing w:after="0" w:line="250"/>
            </w:pPr>
            <w:r>
              <w:rPr>
                <w:b/>
                <w:bCs/>
                <w:sz w:val="19"/>
                <w:szCs w:val="19"/>
              </w:rPr>
              <w:t xml:space="preserve">Stage</w:t>
            </w:r>
          </w:p>
        </w:tc>
        <w:tc>
          <w:tcPr>
            <w:tcW w:type="dxa" w:w="7250"/>
            <w:shd w:fill="DEEAF6" w:val="clear"/>
            <w:tcMar>
              <w:top w:type="dxa" w:w="65"/>
              <w:left w:type="dxa" w:w="105"/>
              <w:bottom w:type="dxa" w:w="65"/>
              <w:right w:type="dxa" w:w="105"/>
            </w:tcMar>
          </w:tcPr>
          <w:p>
            <w:pPr>
              <w:spacing w:after="0" w:line="250"/>
            </w:pPr>
            <w:r>
              <w:rPr>
                <w:b/>
                <w:bCs/>
                <w:sz w:val="19"/>
                <w:szCs w:val="19"/>
              </w:rPr>
              <w:t xml:space="preserve">What it does</w:t>
            </w:r>
          </w:p>
        </w:tc>
      </w:tr>
      <w:tr>
        <w:trPr>
          <w:cantSplit/>
        </w:trPr>
        <w:tc>
          <w:tcPr>
            <w:tcW w:type="dxa" w:w="2350"/>
            <w:tcMar>
              <w:top w:type="dxa" w:w="65"/>
              <w:left w:type="dxa" w:w="105"/>
              <w:bottom w:type="dxa" w:w="65"/>
              <w:right w:type="dxa" w:w="105"/>
            </w:tcMar>
          </w:tcPr>
          <w:p>
            <w:pPr>
              <w:spacing w:after="0" w:line="250"/>
            </w:pPr>
            <w:r>
              <w:rPr>
                <w:b w:val="false"/>
                <w:bCs w:val="false"/>
                <w:sz w:val="19"/>
                <w:szCs w:val="19"/>
              </w:rPr>
              <w:t xml:space="preserve">Window</w:t>
            </w:r>
          </w:p>
        </w:tc>
        <w:tc>
          <w:tcPr>
            <w:tcW w:type="dxa" w:w="7250"/>
            <w:tcMar>
              <w:top w:type="dxa" w:w="65"/>
              <w:left w:type="dxa" w:w="105"/>
              <w:bottom w:type="dxa" w:w="65"/>
              <w:right w:type="dxa" w:w="105"/>
            </w:tcMar>
          </w:tcPr>
          <w:p>
            <w:pPr>
              <w:spacing w:after="0" w:line="250"/>
            </w:pPr>
            <w:r>
              <w:rPr>
                <w:b w:val="false"/>
                <w:bCs w:val="false"/>
                <w:sz w:val="19"/>
                <w:szCs w:val="19"/>
              </w:rPr>
              <w:t xml:space="preserve">Absolute world position from stage plus accumulated drift.</w:t>
            </w:r>
          </w:p>
        </w:tc>
      </w:tr>
      <w:tr>
        <w:trPr>
          <w:cantSplit/>
        </w:trPr>
        <w:tc>
          <w:tcPr>
            <w:tcW w:type="dxa" w:w="2350"/>
            <w:tcMar>
              <w:top w:type="dxa" w:w="65"/>
              <w:left w:type="dxa" w:w="105"/>
              <w:bottom w:type="dxa" w:w="65"/>
              <w:right w:type="dxa" w:w="105"/>
            </w:tcMar>
          </w:tcPr>
          <w:p>
            <w:pPr>
              <w:spacing w:after="0" w:line="250"/>
            </w:pPr>
            <w:r>
              <w:rPr>
                <w:b w:val="false"/>
                <w:bCs w:val="false"/>
                <w:sz w:val="19"/>
                <w:szCs w:val="19"/>
              </w:rPr>
              <w:t xml:space="preserve">Projection</w:t>
            </w:r>
          </w:p>
        </w:tc>
        <w:tc>
          <w:tcPr>
            <w:tcW w:type="dxa" w:w="7250"/>
            <w:tcMar>
              <w:top w:type="dxa" w:w="65"/>
              <w:left w:type="dxa" w:w="105"/>
              <w:bottom w:type="dxa" w:w="65"/>
              <w:right w:type="dxa" w:w="105"/>
            </w:tcMar>
          </w:tcPr>
          <w:p>
            <w:pPr>
              <w:spacing w:after="0" w:line="250"/>
            </w:pPr>
            <w:r>
              <w:rPr>
                <w:b w:val="false"/>
                <w:bCs w:val="false"/>
                <w:sz w:val="19"/>
                <w:szCs w:val="19"/>
              </w:rPr>
              <w:t xml:space="preserve">Rigid-rotation tilt and per-depth-slice defocus, composited with coverage normalisation.</w:t>
            </w:r>
          </w:p>
        </w:tc>
      </w:tr>
      <w:tr>
        <w:trPr>
          <w:cantSplit/>
        </w:trPr>
        <w:tc>
          <w:tcPr>
            <w:tcW w:type="dxa" w:w="2350"/>
            <w:tcMar>
              <w:top w:type="dxa" w:w="65"/>
              <w:left w:type="dxa" w:w="105"/>
              <w:bottom w:type="dxa" w:w="65"/>
              <w:right w:type="dxa" w:w="105"/>
            </w:tcMar>
          </w:tcPr>
          <w:p>
            <w:pPr>
              <w:spacing w:after="0" w:line="250"/>
            </w:pPr>
            <w:r>
              <w:rPr>
                <w:b w:val="false"/>
                <w:bCs w:val="false"/>
                <w:sz w:val="19"/>
                <w:szCs w:val="19"/>
              </w:rPr>
              <w:t xml:space="preserve">Thickness</w:t>
            </w:r>
          </w:p>
        </w:tc>
        <w:tc>
          <w:tcPr>
            <w:tcW w:type="dxa" w:w="7250"/>
            <w:tcMar>
              <w:top w:type="dxa" w:w="65"/>
              <w:left w:type="dxa" w:w="105"/>
              <w:bottom w:type="dxa" w:w="65"/>
              <w:right w:type="dxa" w:w="105"/>
            </w:tcMar>
          </w:tcPr>
          <w:p>
            <w:pPr>
              <w:spacing w:after="0" w:line="250"/>
            </w:pPr>
            <w:r>
              <w:rPr>
                <w:b w:val="false"/>
                <w:bCs w:val="false"/>
                <w:sz w:val="19"/>
                <w:szCs w:val="19"/>
              </w:rPr>
              <w:t xml:space="preserve">Projected mass scaled by the working fraction of the specimen, then converted to a scattering fraction.</w:t>
            </w:r>
          </w:p>
        </w:tc>
      </w:tr>
      <w:tr>
        <w:trPr>
          <w:cantSplit/>
        </w:trPr>
        <w:tc>
          <w:tcPr>
            <w:tcW w:type="dxa" w:w="2350"/>
            <w:tcMar>
              <w:top w:type="dxa" w:w="65"/>
              <w:left w:type="dxa" w:w="105"/>
              <w:bottom w:type="dxa" w:w="65"/>
              <w:right w:type="dxa" w:w="105"/>
            </w:tcMar>
          </w:tcPr>
          <w:p>
            <w:pPr>
              <w:spacing w:after="0" w:line="250"/>
            </w:pPr>
            <w:r>
              <w:rPr>
                <w:b w:val="false"/>
                <w:bCs w:val="false"/>
                <w:sz w:val="19"/>
                <w:szCs w:val="19"/>
              </w:rPr>
              <w:t xml:space="preserve">Probe</w:t>
            </w:r>
          </w:p>
        </w:tc>
        <w:tc>
          <w:tcPr>
            <w:tcW w:type="dxa" w:w="7250"/>
            <w:tcMar>
              <w:top w:type="dxa" w:w="65"/>
              <w:left w:type="dxa" w:w="105"/>
              <w:bottom w:type="dxa" w:w="65"/>
              <w:right w:type="dxa" w:w="105"/>
            </w:tcMar>
          </w:tcPr>
          <w:p>
            <w:pPr>
              <w:spacing w:after="0" w:line="250"/>
            </w:pPr>
            <w:r>
              <w:rPr>
                <w:b w:val="false"/>
                <w:bCs w:val="false"/>
                <w:sz w:val="19"/>
                <w:szCs w:val="19"/>
              </w:rPr>
              <w:t xml:space="preserve">Point-spread function from aperture, spherical aberration and uniform defocus.</w:t>
            </w:r>
          </w:p>
        </w:tc>
      </w:tr>
      <w:tr>
        <w:trPr>
          <w:cantSplit/>
        </w:trPr>
        <w:tc>
          <w:tcPr>
            <w:tcW w:type="dxa" w:w="2350"/>
            <w:tcMar>
              <w:top w:type="dxa" w:w="65"/>
              <w:left w:type="dxa" w:w="105"/>
              <w:bottom w:type="dxa" w:w="65"/>
              <w:right w:type="dxa" w:w="105"/>
            </w:tcMar>
          </w:tcPr>
          <w:p>
            <w:pPr>
              <w:spacing w:after="0" w:line="250"/>
            </w:pPr>
            <w:r>
              <w:rPr>
                <w:b w:val="false"/>
                <w:bCs w:val="false"/>
                <w:sz w:val="19"/>
                <w:szCs w:val="19"/>
              </w:rPr>
              <w:t xml:space="preserve">Resolution</w:t>
            </w:r>
          </w:p>
        </w:tc>
        <w:tc>
          <w:tcPr>
            <w:tcW w:type="dxa" w:w="7250"/>
            <w:tcMar>
              <w:top w:type="dxa" w:w="65"/>
              <w:left w:type="dxa" w:w="105"/>
              <w:bottom w:type="dxa" w:w="65"/>
              <w:right w:type="dxa" w:w="105"/>
            </w:tcMar>
          </w:tcPr>
          <w:p>
            <w:pPr>
              <w:spacing w:after="0" w:line="250"/>
            </w:pPr>
            <w:r>
              <w:rPr>
                <w:b w:val="false"/>
                <w:bCs w:val="false"/>
                <w:sz w:val="19"/>
                <w:szCs w:val="19"/>
              </w:rPr>
              <w:t xml:space="preserve">Blur tied to the sample’s finest real feature, so detail appears only when the pixel is small enough.</w:t>
            </w:r>
          </w:p>
        </w:tc>
      </w:tr>
      <w:tr>
        <w:trPr>
          <w:cantSplit/>
        </w:trPr>
        <w:tc>
          <w:tcPr>
            <w:tcW w:type="dxa" w:w="2350"/>
            <w:tcMar>
              <w:top w:type="dxa" w:w="65"/>
              <w:left w:type="dxa" w:w="105"/>
              <w:bottom w:type="dxa" w:w="65"/>
              <w:right w:type="dxa" w:w="105"/>
            </w:tcMar>
          </w:tcPr>
          <w:p>
            <w:pPr>
              <w:spacing w:after="0" w:line="250"/>
            </w:pPr>
            <w:r>
              <w:rPr>
                <w:b w:val="false"/>
                <w:bCs w:val="false"/>
                <w:sz w:val="19"/>
                <w:szCs w:val="19"/>
              </w:rPr>
              <w:t xml:space="preserve">Atomic columns</w:t>
            </w:r>
          </w:p>
        </w:tc>
        <w:tc>
          <w:tcPr>
            <w:tcW w:type="dxa" w:w="7250"/>
            <w:tcMar>
              <w:top w:type="dxa" w:w="65"/>
              <w:left w:type="dxa" w:w="105"/>
              <w:bottom w:type="dxa" w:w="65"/>
              <w:right w:type="dxa" w:w="105"/>
            </w:tcMar>
          </w:tcPr>
          <w:p>
            <w:pPr>
              <w:spacing w:after="0" w:line="250"/>
            </w:pPr>
            <w:r>
              <w:rPr>
                <w:b w:val="false"/>
                <w:bCs w:val="false"/>
                <w:sz w:val="19"/>
                <w:szCs w:val="19"/>
              </w:rPr>
              <w:t xml:space="preserve">Crystalline samples at high magnification only.</w:t>
            </w:r>
          </w:p>
        </w:tc>
      </w:tr>
      <w:tr>
        <w:trPr>
          <w:cantSplit/>
        </w:trPr>
        <w:tc>
          <w:tcPr>
            <w:tcW w:type="dxa" w:w="2350"/>
            <w:tcMar>
              <w:top w:type="dxa" w:w="65"/>
              <w:left w:type="dxa" w:w="105"/>
              <w:bottom w:type="dxa" w:w="65"/>
              <w:right w:type="dxa" w:w="105"/>
            </w:tcMar>
          </w:tcPr>
          <w:p>
            <w:pPr>
              <w:spacing w:after="0" w:line="250"/>
            </w:pPr>
            <w:r>
              <w:rPr>
                <w:b w:val="false"/>
                <w:bCs w:val="false"/>
                <w:sz w:val="19"/>
                <w:szCs w:val="19"/>
              </w:rPr>
              <w:t xml:space="preserve">Contamination</w:t>
            </w:r>
          </w:p>
        </w:tc>
        <w:tc>
          <w:tcPr>
            <w:tcW w:type="dxa" w:w="7250"/>
            <w:tcMar>
              <w:top w:type="dxa" w:w="65"/>
              <w:left w:type="dxa" w:w="105"/>
              <w:bottom w:type="dxa" w:w="65"/>
              <w:right w:type="dxa" w:w="105"/>
            </w:tcMar>
          </w:tcPr>
          <w:p>
            <w:pPr>
              <w:spacing w:after="0" w:line="250"/>
            </w:pPr>
            <w:r>
              <w:rPr>
                <w:b w:val="false"/>
                <w:bCs w:val="false"/>
                <w:sz w:val="19"/>
                <w:szCs w:val="19"/>
              </w:rPr>
              <w:t xml:space="preserve">Additive brightening from the accumulated dose map.</w:t>
            </w:r>
          </w:p>
        </w:tc>
      </w:tr>
      <w:tr>
        <w:trPr>
          <w:cantSplit/>
        </w:trPr>
        <w:tc>
          <w:tcPr>
            <w:tcW w:type="dxa" w:w="2350"/>
            <w:tcMar>
              <w:top w:type="dxa" w:w="65"/>
              <w:left w:type="dxa" w:w="105"/>
              <w:bottom w:type="dxa" w:w="65"/>
              <w:right w:type="dxa" w:w="105"/>
            </w:tcMar>
          </w:tcPr>
          <w:p>
            <w:pPr>
              <w:spacing w:after="0" w:line="250"/>
            </w:pPr>
            <w:r>
              <w:rPr>
                <w:b w:val="false"/>
                <w:bCs w:val="false"/>
                <w:sz w:val="19"/>
                <w:szCs w:val="19"/>
              </w:rPr>
              <w:t xml:space="preserve">Noise</w:t>
            </w:r>
          </w:p>
        </w:tc>
        <w:tc>
          <w:tcPr>
            <w:tcW w:type="dxa" w:w="7250"/>
            <w:tcMar>
              <w:top w:type="dxa" w:w="65"/>
              <w:left w:type="dxa" w:w="105"/>
              <w:bottom w:type="dxa" w:w="65"/>
              <w:right w:type="dxa" w:w="105"/>
            </w:tcMar>
          </w:tcPr>
          <w:p>
            <w:pPr>
              <w:spacing w:after="0" w:line="250"/>
            </w:pPr>
            <w:r>
              <w:rPr>
                <w:b w:val="false"/>
                <w:bCs w:val="false"/>
                <w:sz w:val="19"/>
                <w:szCs w:val="19"/>
              </w:rPr>
              <w:t xml:space="preserve">Poisson dose statistics plus a Gaussian readout term.</w:t>
            </w:r>
          </w:p>
        </w:tc>
      </w:tr>
    </w:tbl>
    <w:p>
      <w:pPr>
        <w:pStyle w:val="Heading2"/>
        <w:spacing w:after="130" w:before="300"/>
      </w:pPr>
      <w:r>
        <w:rPr>
          <w:b/>
          <w:bCs/>
          <w:color w:val="2E5496"/>
          <w:sz w:val="23"/>
          <w:szCs w:val="23"/>
        </w:rPr>
        <w:t xml:space="preserve">4.1 Stage tilt</w:t>
      </w:r>
    </w:p>
    <w:p>
      <w:pPr>
        <w:spacing w:after="150" w:line="290"/>
      </w:pPr>
      <w:r>
        <w:t xml:space="preserve">Tilt is a rigid rotation of the specimen, about y by β and then about x by α, with the projection integrating along the laboratory beam axis:</w:t>
      </w:r>
    </w:p>
    <w:p>
      <w:pPr>
        <w:pBdr>
          <w:left w:val="single" w:color="D0D0D0" w:sz="12" w:space="10"/>
        </w:pBdr>
        <w:shd w:fill="F5F5F5" w:val="clear"/>
        <w:spacing w:after="160" w:before="100" w:line="265"/>
        <w:ind w:left="200"/>
      </w:pPr>
      <w:r>
        <w:rPr>
          <w:rFonts w:ascii="Consolas" w:cs="Consolas" w:eastAsia="Consolas" w:hAnsi="Consolas"/>
          <w:sz w:val="18"/>
          <w:szCs w:val="18"/>
        </w:rPr>
        <w:t xml:space="preserve">x_lab = xs·cosβ − zs·sinβ</w:t>
      </w:r>
      <w:r>
        <w:br/>
      </w:r>
      <w:r>
        <w:rPr>
          <w:rFonts w:ascii="Consolas" w:cs="Consolas" w:eastAsia="Consolas" w:hAnsi="Consolas"/>
          <w:sz w:val="18"/>
          <w:szCs w:val="18"/>
        </w:rPr>
        <w:t xml:space="preserve">y_lab = ys·cosα − (xs·sinβ + zs·cosβ)·sinα</w:t>
      </w:r>
      <w:r>
        <w:br/>
      </w:r>
      <w:r>
        <w:rPr>
          <w:rFonts w:ascii="Consolas" w:cs="Consolas" w:eastAsia="Consolas" w:hAnsi="Consolas"/>
          <w:sz w:val="18"/>
          <w:szCs w:val="18"/>
        </w:rPr>
        <w:t xml:space="preserve">z_lab = ys·sinα + (xs·sinβ + zs·cosβ)·cosα</w:t>
      </w:r>
    </w:p>
    <w:p>
      <w:pPr>
        <w:spacing w:after="150" w:line="290"/>
      </w:pPr>
      <w:r>
        <w:t xml:space="preserve">Rendering inverts the first two for each depth slice. Both stay affine in the output coordinates, so the cost is one resampling per slice. In-plane extent compresses by cosθ, which tracks the exact value to about one per cent across the tilt range.</w:t>
      </w:r>
    </w:p>
    <w:p>
      <w:pPr>
        <w:pStyle w:val="Heading2"/>
        <w:spacing w:after="130" w:before="300"/>
      </w:pPr>
      <w:r>
        <w:rPr>
          <w:b/>
          <w:bCs/>
          <w:color w:val="2E5496"/>
          <w:sz w:val="23"/>
          <w:szCs w:val="23"/>
        </w:rPr>
        <w:t xml:space="preserve">4.2 Depth of field</w:t>
      </w:r>
    </w:p>
    <w:p>
      <w:pPr>
        <w:spacing w:after="150" w:line="290"/>
      </w:pPr>
      <w:r>
        <w:t xml:space="preserve">The third line above is the distance along the beam, which means the specimen’s own depth, uniform defocus and the tilted focal plane are one expression:</w:t>
      </w:r>
    </w:p>
    <w:p>
      <w:pPr>
        <w:pBdr>
          <w:left w:val="single" w:color="D0D0D0" w:sz="12" w:space="10"/>
        </w:pBdr>
        <w:shd w:fill="F5F5F5" w:val="clear"/>
        <w:spacing w:after="160" w:before="100" w:line="265"/>
        <w:ind w:left="200"/>
      </w:pPr>
      <w:r>
        <w:rPr>
          <w:rFonts w:ascii="Consolas" w:cs="Consolas" w:eastAsia="Consolas" w:hAnsi="Consolas"/>
          <w:sz w:val="18"/>
          <w:szCs w:val="18"/>
        </w:rPr>
        <w:t xml:space="preserve">dz_nm = nm_per_pixel · z_lab + defocus_nm</w:t>
      </w:r>
    </w:p>
    <w:p>
      <w:pPr>
        <w:spacing w:after="150" w:line="290"/>
      </w:pPr>
      <w:r>
        <w:t xml:space="preserve">Blur width is proportional to that distance and clipped at a ceiling:</w:t>
      </w:r>
    </w:p>
    <w:p>
      <w:pPr>
        <w:pBdr>
          <w:left w:val="single" w:color="D0D0D0" w:sz="12" w:space="10"/>
        </w:pBdr>
        <w:shd w:fill="F5F5F5" w:val="clear"/>
        <w:spacing w:after="160" w:before="100" w:line="265"/>
        <w:ind w:left="200"/>
      </w:pPr>
      <w:r>
        <w:rPr>
          <w:rFonts w:ascii="Consolas" w:cs="Consolas" w:eastAsia="Consolas" w:hAnsi="Consolas"/>
          <w:sz w:val="18"/>
          <w:szCs w:val="18"/>
        </w:rPr>
        <w:t xml:space="preserve">σ = |dz_nm| · (dof_max_sigma_px / dof_focus_gain_nm),  clipped at dof_max_sigma_px</w:t>
      </w:r>
    </w:p>
    <w:p>
      <w:pPr>
        <w:spacing w:after="150" w:line="290"/>
      </w:pPr>
      <w:r>
        <w:t xml:space="preserve">dof_focus_gain_nm is the depth of field, expressed as the defocus that produces full blur. Its counterpart on a real column is the convergence semi-angle, through DOF ≈ 2λ/α²:</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DEEAF6" w:val="clear"/>
            <w:tcMar>
              <w:top w:type="dxa" w:w="65"/>
              <w:left w:type="dxa" w:w="105"/>
              <w:bottom w:type="dxa" w:w="65"/>
              <w:right w:type="dxa" w:w="105"/>
            </w:tcMar>
          </w:tcPr>
          <w:p>
            <w:pPr>
              <w:spacing w:after="0" w:line="250"/>
            </w:pPr>
            <w:r>
              <w:rPr>
                <w:b/>
                <w:bCs/>
                <w:sz w:val="19"/>
                <w:szCs w:val="19"/>
              </w:rPr>
              <w:t xml:space="preserve">dof_focus_gain_nm</w:t>
            </w:r>
          </w:p>
        </w:tc>
        <w:tc>
          <w:tcPr>
            <w:tcW w:type="dxa" w:w="5400"/>
            <w:shd w:fill="DEEAF6" w:val="clear"/>
            <w:tcMar>
              <w:top w:type="dxa" w:w="65"/>
              <w:left w:type="dxa" w:w="105"/>
              <w:bottom w:type="dxa" w:w="65"/>
              <w:right w:type="dxa" w:w="105"/>
            </w:tcMar>
          </w:tcPr>
          <w:p>
            <w:pPr>
              <w:spacing w:after="0" w:line="250"/>
            </w:pPr>
            <w:r>
              <w:rPr>
                <w:b/>
                <w:bCs/>
                <w:sz w:val="19"/>
                <w:szCs w:val="19"/>
              </w:rPr>
              <w:t xml:space="preserve">Equivalent convergence semi-angle</w:t>
            </w:r>
          </w:p>
        </w:tc>
      </w:tr>
      <w:tr>
        <w:trPr>
          <w:cantSplit/>
        </w:trPr>
        <w:tc>
          <w:tcPr>
            <w:tcW w:type="dxa" w:w="4200"/>
            <w:tcMar>
              <w:top w:type="dxa" w:w="65"/>
              <w:left w:type="dxa" w:w="105"/>
              <w:bottom w:type="dxa" w:w="65"/>
              <w:right w:type="dxa" w:w="105"/>
            </w:tcMar>
          </w:tcPr>
          <w:p>
            <w:pPr>
              <w:spacing w:after="0" w:line="250"/>
            </w:pPr>
            <w:r>
              <w:rPr>
                <w:b w:val="false"/>
                <w:bCs w:val="false"/>
                <w:sz w:val="19"/>
                <w:szCs w:val="19"/>
              </w:rPr>
              <w:t xml:space="preserve">1000 nm</w:t>
            </w:r>
          </w:p>
        </w:tc>
        <w:tc>
          <w:tcPr>
            <w:tcW w:type="dxa" w:w="5400"/>
            <w:tcMar>
              <w:top w:type="dxa" w:w="65"/>
              <w:left w:type="dxa" w:w="105"/>
              <w:bottom w:type="dxa" w:w="65"/>
              <w:right w:type="dxa" w:w="105"/>
            </w:tcMar>
          </w:tcPr>
          <w:p>
            <w:pPr>
              <w:spacing w:after="0" w:line="250"/>
            </w:pPr>
            <w:r>
              <w:rPr>
                <w:b w:val="false"/>
                <w:bCs w:val="false"/>
                <w:sz w:val="19"/>
                <w:szCs w:val="19"/>
              </w:rPr>
              <w:t xml:space="preserve">≈ 2.2 mrad</w:t>
            </w:r>
          </w:p>
        </w:tc>
      </w:tr>
      <w:tr>
        <w:trPr>
          <w:cantSplit/>
        </w:trPr>
        <w:tc>
          <w:tcPr>
            <w:tcW w:type="dxa" w:w="4200"/>
            <w:tcMar>
              <w:top w:type="dxa" w:w="65"/>
              <w:left w:type="dxa" w:w="105"/>
              <w:bottom w:type="dxa" w:w="65"/>
              <w:right w:type="dxa" w:w="105"/>
            </w:tcMar>
          </w:tcPr>
          <w:p>
            <w:pPr>
              <w:spacing w:after="0" w:line="250"/>
            </w:pPr>
            <w:r>
              <w:rPr>
                <w:b w:val="false"/>
                <w:bCs w:val="false"/>
                <w:sz w:val="19"/>
                <w:szCs w:val="19"/>
              </w:rPr>
              <w:t xml:space="preserve">350 nm</w:t>
            </w:r>
          </w:p>
        </w:tc>
        <w:tc>
          <w:tcPr>
            <w:tcW w:type="dxa" w:w="5400"/>
            <w:tcMar>
              <w:top w:type="dxa" w:w="65"/>
              <w:left w:type="dxa" w:w="105"/>
              <w:bottom w:type="dxa" w:w="65"/>
              <w:right w:type="dxa" w:w="105"/>
            </w:tcMar>
          </w:tcPr>
          <w:p>
            <w:pPr>
              <w:spacing w:after="0" w:line="250"/>
            </w:pPr>
            <w:r>
              <w:rPr>
                <w:b w:val="false"/>
                <w:bCs w:val="false"/>
                <w:sz w:val="19"/>
                <w:szCs w:val="19"/>
              </w:rPr>
              <w:t xml:space="preserve">≈ 3.8 mrad</w:t>
            </w:r>
          </w:p>
        </w:tc>
      </w:tr>
      <w:tr>
        <w:trPr>
          <w:cantSplit/>
        </w:trPr>
        <w:tc>
          <w:tcPr>
            <w:tcW w:type="dxa" w:w="4200"/>
            <w:tcMar>
              <w:top w:type="dxa" w:w="65"/>
              <w:left w:type="dxa" w:w="105"/>
              <w:bottom w:type="dxa" w:w="65"/>
              <w:right w:type="dxa" w:w="105"/>
            </w:tcMar>
          </w:tcPr>
          <w:p>
            <w:pPr>
              <w:spacing w:after="0" w:line="250"/>
            </w:pPr>
            <w:r>
              <w:rPr>
                <w:b w:val="false"/>
                <w:bCs w:val="false"/>
                <w:sz w:val="19"/>
                <w:szCs w:val="19"/>
              </w:rPr>
              <w:t xml:space="preserve">60 nm</w:t>
            </w:r>
          </w:p>
        </w:tc>
        <w:tc>
          <w:tcPr>
            <w:tcW w:type="dxa" w:w="5400"/>
            <w:tcMar>
              <w:top w:type="dxa" w:w="65"/>
              <w:left w:type="dxa" w:w="105"/>
              <w:bottom w:type="dxa" w:w="65"/>
              <w:right w:type="dxa" w:w="105"/>
            </w:tcMar>
          </w:tcPr>
          <w:p>
            <w:pPr>
              <w:spacing w:after="0" w:line="250"/>
            </w:pPr>
            <w:r>
              <w:rPr>
                <w:b w:val="false"/>
                <w:bCs w:val="false"/>
                <w:sz w:val="19"/>
                <w:szCs w:val="19"/>
              </w:rPr>
              <w:t xml:space="preserve">≈ 9.1 mrad</w:t>
            </w:r>
          </w:p>
        </w:tc>
      </w:tr>
      <w:tr>
        <w:trPr>
          <w:cantSplit/>
        </w:trPr>
        <w:tc>
          <w:tcPr>
            <w:tcW w:type="dxa" w:w="4200"/>
            <w:tcMar>
              <w:top w:type="dxa" w:w="65"/>
              <w:left w:type="dxa" w:w="105"/>
              <w:bottom w:type="dxa" w:w="65"/>
              <w:right w:type="dxa" w:w="105"/>
            </w:tcMar>
          </w:tcPr>
          <w:p>
            <w:pPr>
              <w:spacing w:after="0" w:line="250"/>
            </w:pPr>
            <w:r>
              <w:rPr>
                <w:b w:val="false"/>
                <w:bCs w:val="false"/>
                <w:sz w:val="19"/>
                <w:szCs w:val="19"/>
              </w:rPr>
              <w:t xml:space="preserve">25 nm</w:t>
            </w:r>
          </w:p>
        </w:tc>
        <w:tc>
          <w:tcPr>
            <w:tcW w:type="dxa" w:w="5400"/>
            <w:tcMar>
              <w:top w:type="dxa" w:w="65"/>
              <w:left w:type="dxa" w:w="105"/>
              <w:bottom w:type="dxa" w:w="65"/>
              <w:right w:type="dxa" w:w="105"/>
            </w:tcMar>
          </w:tcPr>
          <w:p>
            <w:pPr>
              <w:spacing w:after="0" w:line="250"/>
            </w:pPr>
            <w:r>
              <w:rPr>
                <w:b w:val="false"/>
                <w:bCs w:val="false"/>
                <w:sz w:val="19"/>
                <w:szCs w:val="19"/>
              </w:rPr>
              <w:t xml:space="preserve">≈ 14.2 mrad</w:t>
            </w:r>
          </w:p>
        </w:tc>
      </w:tr>
    </w:tbl>
    <w:p>
      <w:pPr>
        <w:spacing w:after="150" w:line="290"/>
      </w:pPr>
      <w:r>
        <w:t xml:space="preserve">It governs two things at once. Whether the specimen’s internal depth can matter at all — if the depth of field exceeds the foil thickness, everything is in focus wherever it sits — and the width of the in-focus band on a tilted specimen, which is dof_focus_gain_nm / (1000 · sin α) micrometres.</w:t>
      </w:r>
    </w:p>
    <w:p>
      <w:pPr>
        <w:spacing w:after="150" w:line="290"/>
      </w:pPr>
      <w:r>
        <w:t xml:space="preserve">Depth slices are sorted into blur levels, each level blurred once and the levels summed with coverage normalisation. Because the mechanism reads only the voxel volume that every sample produces, all thirteen get depth of field with no specimen-specific physics.</w:t>
      </w:r>
    </w:p>
    <w:p>
      <w:pPr>
        <w:pStyle w:val="Heading2"/>
        <w:spacing w:after="130" w:before="300"/>
      </w:pPr>
      <w:r>
        <w:rPr>
          <w:b/>
          <w:bCs/>
          <w:color w:val="2E5496"/>
          <w:sz w:val="23"/>
          <w:szCs w:val="23"/>
        </w:rPr>
        <w:t xml:space="preserve">4.3 Probe and resolution</w:t>
      </w:r>
    </w:p>
    <w:p>
      <w:pPr>
        <w:spacing w:after="150" w:line="290"/>
      </w:pPr>
      <w:r>
        <w:t xml:space="preserve">A point-spread function carries the probe: aperture size, spherical aberration, and the broadening that uniform defocus causes. Its width is expressed in pixels, so it grows as the field narrows. A separate blur ties resolution to the sample’s declared finest feature.</w:t>
      </w:r>
    </w:p>
    <w:p>
      <w:pPr>
        <w:pStyle w:val="Heading1"/>
        <w:spacing w:after="170" w:before="380"/>
      </w:pPr>
      <w:r>
        <w:rPr>
          <w:b/>
          <w:bCs/>
          <w:color w:val="1F3864"/>
          <w:sz w:val="28"/>
          <w:szCs w:val="28"/>
        </w:rPr>
        <w:t xml:space="preserve">5. Diffraction</w:t>
      </w:r>
    </w:p>
    <w:p>
      <w:pPr>
        <w:spacing w:after="150" w:line="290"/>
      </w:pPr>
      <w:r>
        <w:t xml:space="preserve">Diffraction is computed from atomic coordinates in the illuminated region rather than from the image. For scattering vector q:</w:t>
      </w:r>
    </w:p>
    <w:p>
      <w:pPr>
        <w:pBdr>
          <w:left w:val="single" w:color="D0D0D0" w:sz="12" w:space="10"/>
        </w:pBdr>
        <w:shd w:fill="F5F5F5" w:val="clear"/>
        <w:spacing w:after="160" w:before="100" w:line="265"/>
        <w:ind w:left="200"/>
      </w:pPr>
      <w:r>
        <w:rPr>
          <w:rFonts w:ascii="Consolas" w:cs="Consolas" w:eastAsia="Consolas" w:hAnsi="Consolas"/>
          <w:sz w:val="18"/>
          <w:szCs w:val="18"/>
        </w:rPr>
        <w:t xml:space="preserve">I(q) = | Σⱼ fⱼ(q) · exp(2πi q·rⱼ) |²</w:t>
      </w:r>
    </w:p>
    <w:p>
      <w:pPr>
        <w:spacing w:after="150" w:line="290"/>
      </w:pPr>
      <w:r>
        <w:t xml:space="preserve">evaluated on the Ewald sphere, with atomic form factors and a thickness-dependent relrod — a sinc² in excitation error whose width scales as the reciprocal of thickness, so a thin region gives elongated reflections and a thick one gives sharp ones.</w:t>
      </w:r>
    </w:p>
    <w:p>
      <w:pPr>
        <w:spacing w:after="150" w:line="290"/>
      </w:pPr>
      <w:r>
        <w:t xml:space="preserve">One code path serves every sample. Crystals give spot patterns, the polycrystal gives ring-like maxima, the amorphous film gives diffuse halos. The pattern depends on where the stage is: an aperture placed inside a single grain gives one net, and one straddling a boundary gives two superposed nets.</w:t>
      </w:r>
    </w:p>
    <w:p>
      <w:pPr>
        <w:pStyle w:val="Heading1"/>
        <w:spacing w:after="170" w:before="380"/>
      </w:pPr>
      <w:r>
        <w:rPr>
          <w:b/>
          <w:bCs/>
          <w:color w:val="1F3864"/>
          <w:sz w:val="28"/>
          <w:szCs w:val="28"/>
        </w:rPr>
        <w:t xml:space="preserve">6. Detection and dose</w:t>
      </w:r>
    </w:p>
    <w:p>
      <w:pPr>
        <w:spacing w:after="150" w:line="290"/>
      </w:pPr>
      <w:r>
        <w:t xml:space="preserve">Electrons per pixel follow from probe current and per-pixel dwell time:</w:t>
      </w:r>
    </w:p>
    <w:p>
      <w:pPr>
        <w:pBdr>
          <w:left w:val="single" w:color="D0D0D0" w:sz="12" w:space="10"/>
        </w:pBdr>
        <w:shd w:fill="F5F5F5" w:val="clear"/>
        <w:spacing w:after="160" w:before="100" w:line="265"/>
        <w:ind w:left="200"/>
      </w:pPr>
      <w:r>
        <w:rPr>
          <w:rFonts w:ascii="Consolas" w:cs="Consolas" w:eastAsia="Consolas" w:hAnsi="Consolas"/>
          <w:sz w:val="18"/>
          <w:szCs w:val="18"/>
        </w:rPr>
        <w:t xml:space="preserve">nₑ = I · t / e</w:t>
      </w:r>
    </w:p>
    <w:p>
      <w:pPr>
        <w:spacing w:after="150" w:line="290"/>
      </w:pPr>
      <w:r>
        <w:t xml:space="preserve">Counts are drawn from Poisson statistics on that number, scaled by detector quantum efficiency, with a Gaussian readout term added. Dose is therefore not a free parameter: shortening the dwell to limit exposure produces a correspondingly noisier image, and the trade-off a dose-limited workflow has to manage is present in the model rather than assumed.</w:t>
      </w:r>
    </w:p>
    <w:p>
      <w:pPr>
        <w:spacing w:after="150" w:line="290"/>
      </w:pPr>
      <w:r>
        <w:t xml:space="preserve">The same dose figure drives contamination. Because dose is electrons per pixel divided by pixel area, it rises as the square of resolution: doubling the pixel count at a fixed field quadruples the dose delivered to the specimen. Carbon accumulates in the exposed region, and since the signal rises with mass-thickness that region brightens, leaving a footprint a later survey has to navigate around.</w:t>
      </w:r>
    </w:p>
    <w:p>
      <w:pPr>
        <w:pStyle w:val="Heading1"/>
        <w:spacing w:after="170" w:before="380"/>
      </w:pPr>
      <w:r>
        <w:rPr>
          <w:b/>
          <w:bCs/>
          <w:color w:val="1F3864"/>
          <w:sz w:val="28"/>
          <w:szCs w:val="28"/>
        </w:rPr>
        <w:t xml:space="preserve">7. Instrument behaviour</w:t>
      </w:r>
    </w:p>
    <w:p>
      <w:pPr>
        <w:pStyle w:val="Heading2"/>
        <w:spacing w:after="130" w:before="300"/>
      </w:pPr>
      <w:r>
        <w:rPr>
          <w:b/>
          <w:bCs/>
          <w:color w:val="2E5496"/>
          <w:sz w:val="23"/>
          <w:szCs w:val="23"/>
        </w:rPr>
        <w:t xml:space="preserve">7.1 Stage safety</w:t>
      </w:r>
    </w:p>
    <w:p>
      <w:pPr>
        <w:spacing w:after="150" w:line="290"/>
      </w:pPr>
      <w:r>
        <w:t xml:space="preserve">Soft limits of ±1.5 mm in x and y, ±1 mm in z and ±30° in α and β. A move whose target lies outside any of them is rejected outright and nothing moves, as a real column would refuse it.</w:t>
      </w:r>
    </w:p>
    <w:p>
      <w:pPr>
        <w:pStyle w:val="Heading2"/>
        <w:spacing w:after="130" w:before="300"/>
      </w:pPr>
      <w:r>
        <w:rPr>
          <w:b/>
          <w:bCs/>
          <w:color w:val="2E5496"/>
          <w:sz w:val="23"/>
          <w:szCs w:val="23"/>
        </w:rPr>
        <w:t xml:space="preserve">7.2 Magnification</w:t>
      </w:r>
    </w:p>
    <w:p>
      <w:pPr>
        <w:spacing w:after="150" w:line="290"/>
      </w:pPr>
      <w:r>
        <w:t xml:space="preserve">Magnification is exposed on the control interface and on every backend, calibrated as mag = k / FOV. Setting either magnification or field of view keeps the other consistent.</w:t>
      </w:r>
    </w:p>
    <w:p>
      <w:pPr>
        <w:pStyle w:val="Heading2"/>
        <w:spacing w:after="130" w:before="300"/>
      </w:pPr>
      <w:r>
        <w:rPr>
          <w:b/>
          <w:bCs/>
          <w:color w:val="2E5496"/>
          <w:sz w:val="23"/>
          <w:szCs w:val="23"/>
        </w:rPr>
        <w:t xml:space="preserve">7.3 Drift</w:t>
      </w:r>
    </w:p>
    <w:p>
      <w:pPr>
        <w:spacing w:after="150" w:line="290"/>
      </w:pPr>
      <w:r>
        <w:t xml:space="preserve">Stage drift is specified in nanometres per second, covering the range from below 0.2 for an excellent column to roughly 10 for a just-inserted holder, with intra-frame shear and line-to-line jitter. It accrues over the real elapsed time between acquisitions, capped by max_dt_s so that an idle session does not displace the field on the next exposure.</w:t>
      </w:r>
    </w:p>
    <w:p>
      <w:pPr>
        <w:pStyle w:val="Heading2"/>
        <w:spacing w:after="130" w:before="300"/>
      </w:pPr>
      <w:r>
        <w:rPr>
          <w:b/>
          <w:bCs/>
          <w:color w:val="2E5496"/>
          <w:sz w:val="23"/>
          <w:szCs w:val="23"/>
        </w:rPr>
        <w:t xml:space="preserve">7.4 Autofocus</w:t>
      </w:r>
    </w:p>
    <w:p>
      <w:pPr>
        <w:spacing w:after="150" w:line="290"/>
      </w:pPr>
      <w:r>
        <w:t xml:space="preserve">The routine sweeps focus and assesses the sharpness curve for peak prominence above baseline and for multiple comparable maxima. It returns a convergence flag, a readable reason, the curve contrast and the number of candidate peaks. Where it does not converge it declines to commit and returns the stage to its starting height rather than guessing, so a workflow has to branch on the outcome. It is shown declining to converge on a heavily contaminated specimen, reporting insufficient peak-to-floor contrast as the reason.</w:t>
      </w:r>
    </w:p>
    <w:p>
      <w:pPr>
        <w:pStyle w:val="Heading1"/>
        <w:spacing w:after="170" w:before="380"/>
      </w:pPr>
      <w:r>
        <w:rPr>
          <w:b/>
          <w:bCs/>
          <w:color w:val="1F3864"/>
          <w:sz w:val="28"/>
          <w:szCs w:val="28"/>
        </w:rPr>
        <w:t xml:space="preserve">8. Setting up an acquisition</w:t>
      </w:r>
    </w:p>
    <w:p>
      <w:pPr>
        <w:spacing w:after="150" w:line="290"/>
      </w:pPr>
      <w:r>
        <w:t xml:space="preserve">Conditions are set by explicit calls, each stating a physical quantity. Most sit on the simulation harness; the autofocus criterion sits on the control client, because a real instrument has one too.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700"/>
        <w:gridCol w:w="4900"/>
      </w:tblGrid>
      <w:tr>
        <w:trPr>
          <w:tblHeader/>
        </w:trPr>
        <w:tc>
          <w:tcPr>
            <w:tcW w:type="dxa" w:w="4700"/>
            <w:shd w:fill="DEEAF6" w:val="clear"/>
            <w:tcMar>
              <w:top w:type="dxa" w:w="65"/>
              <w:left w:type="dxa" w:w="105"/>
              <w:bottom w:type="dxa" w:w="65"/>
              <w:right w:type="dxa" w:w="105"/>
            </w:tcMar>
          </w:tcPr>
          <w:p>
            <w:pPr>
              <w:spacing w:after="0" w:line="250"/>
            </w:pPr>
            <w:r>
              <w:rPr>
                <w:b/>
                <w:bCs/>
                <w:sz w:val="19"/>
                <w:szCs w:val="19"/>
              </w:rPr>
              <w:t xml:space="preserve">Call</w:t>
            </w:r>
          </w:p>
        </w:tc>
        <w:tc>
          <w:tcPr>
            <w:tcW w:type="dxa" w:w="4900"/>
            <w:shd w:fill="DEEAF6" w:val="clear"/>
            <w:tcMar>
              <w:top w:type="dxa" w:w="65"/>
              <w:left w:type="dxa" w:w="105"/>
              <w:bottom w:type="dxa" w:w="65"/>
              <w:right w:type="dxa" w:w="105"/>
            </w:tcMar>
          </w:tcPr>
          <w:p>
            <w:pPr>
              <w:spacing w:after="0" w:line="250"/>
            </w:pPr>
            <w:r>
              <w:rPr>
                <w:b/>
                <w:bCs/>
                <w:sz w:val="19"/>
                <w:szCs w:val="19"/>
              </w:rPr>
              <w:t xml:space="preserve">Sets</w:t>
            </w:r>
          </w:p>
        </w:tc>
      </w:tr>
      <w:tr>
        <w:trPr>
          <w:cantSplit/>
        </w:trPr>
        <w:tc>
          <w:tcPr>
            <w:tcW w:type="dxa" w:w="470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sim.set_drift(vx_nm_per_s, vy_nm_per_s, line_jitter_px, enabled, reset_accum, max_dt_s)</w:t>
            </w:r>
          </w:p>
        </w:tc>
        <w:tc>
          <w:tcPr>
            <w:tcW w:type="dxa" w:w="4900"/>
            <w:tcMar>
              <w:top w:type="dxa" w:w="65"/>
              <w:left w:type="dxa" w:w="105"/>
              <w:bottom w:type="dxa" w:w="65"/>
              <w:right w:type="dxa" w:w="105"/>
            </w:tcMar>
          </w:tcPr>
          <w:p>
            <w:pPr>
              <w:spacing w:after="0" w:line="250"/>
            </w:pPr>
            <w:r>
              <w:rPr>
                <w:b w:val="false"/>
                <w:bCs w:val="false"/>
                <w:sz w:val="19"/>
                <w:szCs w:val="19"/>
              </w:rPr>
              <w:t xml:space="preserve">Stage drift in physical units.</w:t>
            </w:r>
          </w:p>
        </w:tc>
      </w:tr>
      <w:tr>
        <w:trPr>
          <w:cantSplit/>
        </w:trPr>
        <w:tc>
          <w:tcPr>
            <w:tcW w:type="dxa" w:w="470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sim.set_contamination(enabled, rate)</w:t>
            </w:r>
          </w:p>
        </w:tc>
        <w:tc>
          <w:tcPr>
            <w:tcW w:type="dxa" w:w="4900"/>
            <w:tcMar>
              <w:top w:type="dxa" w:w="65"/>
              <w:left w:type="dxa" w:w="105"/>
              <w:bottom w:type="dxa" w:w="65"/>
              <w:right w:type="dxa" w:w="105"/>
            </w:tcMar>
          </w:tcPr>
          <w:p>
            <w:pPr>
              <w:spacing w:after="0" w:line="250"/>
            </w:pPr>
            <w:r>
              <w:rPr>
                <w:b w:val="false"/>
                <w:bCs w:val="false"/>
                <w:sz w:val="19"/>
                <w:szCs w:val="19"/>
              </w:rPr>
              <w:t xml:space="preserve">Carbon build-up. rate is a percentage: 100 is the nominal rate, 200 twice as fast, 0 off.</w:t>
            </w:r>
          </w:p>
        </w:tc>
      </w:tr>
      <w:tr>
        <w:trPr>
          <w:cantSplit/>
        </w:trPr>
        <w:tc>
          <w:tcPr>
            <w:tcW w:type="dxa" w:w="470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sim.set_noise(dwell_us, dqe, readout_e, use_dose_model, noise_sigma)</w:t>
            </w:r>
          </w:p>
        </w:tc>
        <w:tc>
          <w:tcPr>
            <w:tcW w:type="dxa" w:w="4900"/>
            <w:tcMar>
              <w:top w:type="dxa" w:w="65"/>
              <w:left w:type="dxa" w:w="105"/>
              <w:bottom w:type="dxa" w:w="65"/>
              <w:right w:type="dxa" w:w="105"/>
            </w:tcMar>
          </w:tcPr>
          <w:p>
            <w:pPr>
              <w:spacing w:after="0" w:line="250"/>
            </w:pPr>
            <w:r>
              <w:rPr>
                <w:b w:val="false"/>
                <w:bCs w:val="false"/>
                <w:sz w:val="19"/>
                <w:szCs w:val="19"/>
              </w:rPr>
              <w:t xml:space="preserve">Dose and detector parameters.</w:t>
            </w:r>
          </w:p>
        </w:tc>
      </w:tr>
      <w:tr>
        <w:trPr>
          <w:cantSplit/>
        </w:trPr>
        <w:tc>
          <w:tcPr>
            <w:tcW w:type="dxa" w:w="470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sim.reset_specimen()</w:t>
            </w:r>
          </w:p>
        </w:tc>
        <w:tc>
          <w:tcPr>
            <w:tcW w:type="dxa" w:w="4900"/>
            <w:tcMar>
              <w:top w:type="dxa" w:w="65"/>
              <w:left w:type="dxa" w:w="105"/>
              <w:bottom w:type="dxa" w:w="65"/>
              <w:right w:type="dxa" w:w="105"/>
            </w:tcMar>
          </w:tcPr>
          <w:p>
            <w:pPr>
              <w:spacing w:after="0" w:line="250"/>
            </w:pPr>
            <w:r>
              <w:rPr>
                <w:b w:val="false"/>
                <w:bCs w:val="false"/>
                <w:sz w:val="19"/>
                <w:szCs w:val="19"/>
              </w:rPr>
              <w:t xml:space="preserve">Clears the accumulated contamination map.</w:t>
            </w:r>
          </w:p>
        </w:tc>
      </w:tr>
      <w:tr>
        <w:trPr>
          <w:cantSplit/>
        </w:trPr>
        <w:tc>
          <w:tcPr>
            <w:tcW w:type="dxa" w:w="470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control.set_autofocus_limits(min_contrast)</w:t>
            </w:r>
          </w:p>
        </w:tc>
        <w:tc>
          <w:tcPr>
            <w:tcW w:type="dxa" w:w="4900"/>
            <w:tcMar>
              <w:top w:type="dxa" w:w="65"/>
              <w:left w:type="dxa" w:w="105"/>
              <w:bottom w:type="dxa" w:w="65"/>
              <w:right w:type="dxa" w:w="105"/>
            </w:tcMar>
          </w:tcPr>
          <w:p>
            <w:pPr>
              <w:spacing w:after="0" w:line="250"/>
            </w:pPr>
            <w:r>
              <w:rPr>
                <w:b w:val="false"/>
                <w:bCs w:val="false"/>
                <w:sz w:val="19"/>
                <w:szCs w:val="19"/>
              </w:rPr>
              <w:t xml:space="preserve">Peak-to-floor ratio below which autofocus reports non-convergence.</w:t>
            </w:r>
          </w:p>
        </w:tc>
      </w:tr>
    </w:tbl>
    <w:p>
      <w:pPr>
        <w:spacing w:after="150" w:line="290"/>
      </w:pPr>
      <w:r>
        <w:t xml:space="preserve">A worked example — a moderately drifting column with contamination running:</w:t>
      </w:r>
    </w:p>
    <w:p>
      <w:pPr>
        <w:pBdr>
          <w:left w:val="single" w:color="D0D0D0" w:sz="12" w:space="10"/>
        </w:pBdr>
        <w:shd w:fill="F5F5F5" w:val="clear"/>
        <w:spacing w:after="160" w:before="100" w:line="265"/>
        <w:ind w:left="200"/>
      </w:pPr>
      <w:r>
        <w:rPr>
          <w:rFonts w:ascii="Consolas" w:cs="Consolas" w:eastAsia="Consolas" w:hAnsi="Consolas"/>
          <w:sz w:val="18"/>
          <w:szCs w:val="18"/>
        </w:rPr>
        <w:t xml:space="preserve">sim.set_drift(vx_nm_per_s=1.2, vy_nm_per_s=0.7, enabled=True)</w:t>
      </w:r>
      <w:r>
        <w:br/>
      </w:r>
      <w:r>
        <w:rPr>
          <w:rFonts w:ascii="Consolas" w:cs="Consolas" w:eastAsia="Consolas" w:hAnsi="Consolas"/>
          <w:sz w:val="18"/>
          <w:szCs w:val="18"/>
        </w:rPr>
        <w:t xml:space="preserve">sim.set_contamination(enabled=True, rate=100)</w:t>
      </w:r>
      <w:r>
        <w:br/>
      </w:r>
      <w:r>
        <w:rPr>
          <w:rFonts w:ascii="Consolas" w:cs="Consolas" w:eastAsia="Consolas" w:hAnsi="Consolas"/>
          <w:sz w:val="18"/>
          <w:szCs w:val="18"/>
        </w:rPr>
        <w:t xml:space="preserve">sim.set_noise(dwell_us=15.0, dqe=0.8, readout_e=1.5)</w:t>
      </w:r>
      <w:r>
        <w:br/>
      </w:r>
      <w:r>
        <w:rPr>
          <w:rFonts w:ascii="Consolas" w:cs="Consolas" w:eastAsia="Consolas" w:hAnsi="Consolas"/>
          <w:sz w:val="18"/>
          <w:szCs w:val="18"/>
        </w:rPr>
        <w:t xml:space="preserve">control.set_autofocus_limits(min_contrast=0.10)</w:t>
      </w:r>
    </w:p>
    <w:p>
      <w:pPr>
        <w:spacing w:after="150" w:line="290"/>
      </w:pPr>
      <w:r>
        <w:t xml:space="preserve">Everything the acquisition sees is visible at the call site, so a demonstration states its conditions as numbers rather than referring to a named preset that has to be looked up.</w:t>
      </w:r>
    </w:p>
    <w:p>
      <w:pPr>
        <w:pStyle w:val="Heading1"/>
        <w:spacing w:after="170" w:before="380"/>
      </w:pPr>
      <w:r>
        <w:rPr>
          <w:b/>
          <w:bCs/>
          <w:color w:val="1F3864"/>
          <w:sz w:val="28"/>
          <w:szCs w:val="28"/>
        </w:rPr>
        <w:t xml:space="preserve">9. Practical notes</w:t>
      </w:r>
    </w:p>
    <w:p>
      <w:pPr>
        <w:spacing w:after="150" w:line="290"/>
      </w:pPr>
      <w:r>
        <w:t xml:space="preserve">Behaviours that are easy to misread as faults: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6900"/>
      </w:tblGrid>
      <w:tr>
        <w:trPr>
          <w:tblHeader/>
        </w:trPr>
        <w:tc>
          <w:tcPr>
            <w:tcW w:type="dxa" w:w="2700"/>
            <w:shd w:fill="DEEAF6" w:val="clear"/>
            <w:tcMar>
              <w:top w:type="dxa" w:w="65"/>
              <w:left w:type="dxa" w:w="105"/>
              <w:bottom w:type="dxa" w:w="65"/>
              <w:right w:type="dxa" w:w="105"/>
            </w:tcMar>
          </w:tcPr>
          <w:p>
            <w:pPr>
              <w:spacing w:after="0" w:line="250"/>
            </w:pPr>
            <w:r>
              <w:rPr>
                <w:b/>
                <w:bCs/>
                <w:sz w:val="19"/>
                <w:szCs w:val="19"/>
              </w:rPr>
              <w:t xml:space="preserve">Symptom</w:t>
            </w:r>
          </w:p>
        </w:tc>
        <w:tc>
          <w:tcPr>
            <w:tcW w:type="dxa" w:w="6900"/>
            <w:shd w:fill="DEEAF6" w:val="clear"/>
            <w:tcMar>
              <w:top w:type="dxa" w:w="65"/>
              <w:left w:type="dxa" w:w="105"/>
              <w:bottom w:type="dxa" w:w="65"/>
              <w:right w:type="dxa" w:w="105"/>
            </w:tcMar>
          </w:tcPr>
          <w:p>
            <w:pPr>
              <w:spacing w:after="0" w:line="250"/>
            </w:pPr>
            <w:r>
              <w:rPr>
                <w:b/>
                <w:bCs/>
                <w:sz w:val="19"/>
                <w:szCs w:val="19"/>
              </w:rPr>
              <w:t xml:space="preserve">Explanation</w:t>
            </w:r>
          </w:p>
        </w:tc>
      </w:tr>
      <w:tr>
        <w:trPr>
          <w:cantSplit/>
        </w:trPr>
        <w:tc>
          <w:tcPr>
            <w:tcW w:type="dxa" w:w="2700"/>
            <w:tcMar>
              <w:top w:type="dxa" w:w="65"/>
              <w:left w:type="dxa" w:w="105"/>
              <w:bottom w:type="dxa" w:w="65"/>
              <w:right w:type="dxa" w:w="105"/>
            </w:tcMar>
          </w:tcPr>
          <w:p>
            <w:pPr>
              <w:spacing w:after="0" w:line="250"/>
            </w:pPr>
            <w:r>
              <w:rPr>
                <w:b w:val="false"/>
                <w:bCs w:val="false"/>
                <w:sz w:val="19"/>
                <w:szCs w:val="19"/>
              </w:rPr>
              <w:t xml:space="preserve">Drift looks stationary</w:t>
            </w:r>
          </w:p>
        </w:tc>
        <w:tc>
          <w:tcPr>
            <w:tcW w:type="dxa" w:w="6900"/>
            <w:tcMar>
              <w:top w:type="dxa" w:w="65"/>
              <w:left w:type="dxa" w:w="105"/>
              <w:bottom w:type="dxa" w:w="65"/>
              <w:right w:type="dxa" w:w="105"/>
            </w:tcMar>
          </w:tcPr>
          <w:p>
            <w:pPr>
              <w:spacing w:after="0" w:line="250"/>
            </w:pPr>
            <w:r>
              <w:rPr>
                <w:b w:val="false"/>
                <w:bCs w:val="false"/>
                <w:sz w:val="19"/>
                <w:szCs w:val="19"/>
              </w:rPr>
              <w:t xml:space="preserve">Drift is measured in nanometres per second, so whether it is visible depends on the size of an output pixel. At a 30 µm field on 512 pixels each pixel spans 59 nm, and 2 nm s⁻¹ needs about half a minute to move the image by one pixel. At 0.2 µm the same rate covers ten pixels in two seconds. Raise the magnification or wait longer; the rate itself is already realistic.</w:t>
            </w:r>
          </w:p>
        </w:tc>
      </w:tr>
      <w:tr>
        <w:trPr>
          <w:cantSplit/>
        </w:trPr>
        <w:tc>
          <w:tcPr>
            <w:tcW w:type="dxa" w:w="2700"/>
            <w:tcMar>
              <w:top w:type="dxa" w:w="65"/>
              <w:left w:type="dxa" w:w="105"/>
              <w:bottom w:type="dxa" w:w="65"/>
              <w:right w:type="dxa" w:w="105"/>
            </w:tcMar>
          </w:tcPr>
          <w:p>
            <w:pPr>
              <w:spacing w:after="0" w:line="250"/>
            </w:pPr>
            <w:r>
              <w:rPr>
                <w:b w:val="false"/>
                <w:bCs w:val="false"/>
                <w:sz w:val="19"/>
                <w:szCs w:val="19"/>
              </w:rPr>
              <w:t xml:space="preserve">A long pause produces no drift</w:t>
            </w:r>
          </w:p>
        </w:tc>
        <w:tc>
          <w:tcPr>
            <w:tcW w:type="dxa" w:w="6900"/>
            <w:tcMar>
              <w:top w:type="dxa" w:w="65"/>
              <w:left w:type="dxa" w:w="105"/>
              <w:bottom w:type="dxa" w:w="65"/>
              <w:right w:type="dxa" w:w="105"/>
            </w:tcMar>
          </w:tcPr>
          <w:p>
            <w:pPr>
              <w:spacing w:after="0" w:line="250"/>
            </w:pPr>
            <w:r>
              <w:rPr>
                <w:b w:val="false"/>
                <w:bCs w:val="false"/>
                <w:sz w:val="19"/>
                <w:szCs w:val="19"/>
              </w:rPr>
              <w:t xml:space="preserve">Drift accrues over the elapsed time between acquisitions, capped by max_dt_s so that leaving a session idle cannot teleport the field. The cap defaults to two seconds, so a deliberate hundred-second wait needs set_drift(max_dt_s=120) to take effect.</w:t>
            </w:r>
          </w:p>
        </w:tc>
      </w:tr>
      <w:tr>
        <w:trPr>
          <w:cantSplit/>
        </w:trPr>
        <w:tc>
          <w:tcPr>
            <w:tcW w:type="dxa" w:w="2700"/>
            <w:tcMar>
              <w:top w:type="dxa" w:w="65"/>
              <w:left w:type="dxa" w:w="105"/>
              <w:bottom w:type="dxa" w:w="65"/>
              <w:right w:type="dxa" w:w="105"/>
            </w:tcMar>
          </w:tcPr>
          <w:p>
            <w:pPr>
              <w:spacing w:after="0" w:line="250"/>
            </w:pPr>
            <w:r>
              <w:rPr>
                <w:b w:val="false"/>
                <w:bCs w:val="false"/>
                <w:sz w:val="19"/>
                <w:szCs w:val="19"/>
              </w:rPr>
              <w:t xml:space="preserve">Contamination never appears, or appears instantly</w:t>
            </w:r>
          </w:p>
        </w:tc>
        <w:tc>
          <w:tcPr>
            <w:tcW w:type="dxa" w:w="6900"/>
            <w:tcMar>
              <w:top w:type="dxa" w:w="65"/>
              <w:left w:type="dxa" w:w="105"/>
              <w:bottom w:type="dxa" w:w="65"/>
              <w:right w:type="dxa" w:w="105"/>
            </w:tcMar>
          </w:tcPr>
          <w:p>
            <w:pPr>
              <w:spacing w:after="0" w:line="250"/>
            </w:pPr>
            <w:r>
              <w:rPr>
                <w:b w:val="false"/>
                <w:bCs w:val="false"/>
                <w:sz w:val="19"/>
                <w:szCs w:val="19"/>
              </w:rPr>
              <w:t xml:space="preserve">It is observable over a window. Below roughly 0.3 e⁻ Å⁻² per frame nothing accumulates visibly; above roughly 20 the first frame already saturates. At 80 pA and 20 µs that window is about 5 to 30 µm of field at 1024 pixels, and it shifts down fourfold in field for every doubling of resolution.</w:t>
            </w:r>
          </w:p>
        </w:tc>
      </w:tr>
      <w:tr>
        <w:trPr>
          <w:cantSplit/>
        </w:trPr>
        <w:tc>
          <w:tcPr>
            <w:tcW w:type="dxa" w:w="2700"/>
            <w:tcMar>
              <w:top w:type="dxa" w:w="65"/>
              <w:left w:type="dxa" w:w="105"/>
              <w:bottom w:type="dxa" w:w="65"/>
              <w:right w:type="dxa" w:w="105"/>
            </w:tcMar>
          </w:tcPr>
          <w:p>
            <w:pPr>
              <w:spacing w:after="0" w:line="250"/>
            </w:pPr>
            <w:r>
              <w:rPr>
                <w:b w:val="false"/>
                <w:bCs w:val="false"/>
                <w:sz w:val="19"/>
                <w:szCs w:val="19"/>
              </w:rPr>
              <w:t xml:space="preserve">The tilted in-focus band is invisible</w:t>
            </w:r>
          </w:p>
        </w:tc>
        <w:tc>
          <w:tcPr>
            <w:tcW w:type="dxa" w:w="6900"/>
            <w:tcMar>
              <w:top w:type="dxa" w:w="65"/>
              <w:left w:type="dxa" w:w="105"/>
              <w:bottom w:type="dxa" w:w="65"/>
              <w:right w:type="dxa" w:w="105"/>
            </w:tcMar>
          </w:tcPr>
          <w:p>
            <w:pPr>
              <w:spacing w:after="0" w:line="250"/>
            </w:pPr>
            <w:r>
              <w:rPr>
                <w:b w:val="false"/>
                <w:bCs w:val="false"/>
                <w:sz w:val="19"/>
                <w:szCs w:val="19"/>
              </w:rPr>
              <w:t xml:space="preserve">Its half-width is an absolute distance, dof_focus_gain_nm / (1000 · sin α) micrometres, so what matters is its size as a fraction of the field. At a shallow depth of field and a wide field it is a narrow sliver. Narrow the field, or raise dof_focus_gain_nm if a wider band is wanted.</w:t>
            </w:r>
          </w:p>
        </w:tc>
      </w:tr>
      <w:tr>
        <w:trPr>
          <w:cantSplit/>
        </w:trPr>
        <w:tc>
          <w:tcPr>
            <w:tcW w:type="dxa" w:w="2700"/>
            <w:tcMar>
              <w:top w:type="dxa" w:w="65"/>
              <w:left w:type="dxa" w:w="105"/>
              <w:bottom w:type="dxa" w:w="65"/>
              <w:right w:type="dxa" w:w="105"/>
            </w:tcMar>
          </w:tcPr>
          <w:p>
            <w:pPr>
              <w:spacing w:after="0" w:line="250"/>
            </w:pPr>
            <w:r>
              <w:rPr>
                <w:b w:val="false"/>
                <w:bCs w:val="false"/>
                <w:sz w:val="19"/>
                <w:szCs w:val="19"/>
              </w:rPr>
              <w:t xml:space="preserve">Defocus stops getting worse</w:t>
            </w:r>
          </w:p>
        </w:tc>
        <w:tc>
          <w:tcPr>
            <w:tcW w:type="dxa" w:w="6900"/>
            <w:tcMar>
              <w:top w:type="dxa" w:w="65"/>
              <w:left w:type="dxa" w:w="105"/>
              <w:bottom w:type="dxa" w:w="65"/>
              <w:right w:type="dxa" w:w="105"/>
            </w:tcMar>
          </w:tcPr>
          <w:p>
            <w:pPr>
              <w:spacing w:after="0" w:line="250"/>
            </w:pPr>
            <w:r>
              <w:rPr>
                <w:b w:val="false"/>
                <w:bCs w:val="false"/>
                <w:sz w:val="19"/>
                <w:szCs w:val="19"/>
              </w:rPr>
              <w:t xml:space="preserve">Two ceilings apply. Depth-of-field blur saturates once the defocus reaches dof_focus_gain_nm, which is deliberate and tunable. The probe point-spread function is capped by its kernel radius, which binds sooner at higher magnification because its width is expressed in pixels.</w:t>
            </w:r>
          </w:p>
        </w:tc>
      </w:tr>
      <w:tr>
        <w:trPr>
          <w:cantSplit/>
        </w:trPr>
        <w:tc>
          <w:tcPr>
            <w:tcW w:type="dxa" w:w="2700"/>
            <w:tcMar>
              <w:top w:type="dxa" w:w="65"/>
              <w:left w:type="dxa" w:w="105"/>
              <w:bottom w:type="dxa" w:w="65"/>
              <w:right w:type="dxa" w:w="105"/>
            </w:tcMar>
          </w:tcPr>
          <w:p>
            <w:pPr>
              <w:spacing w:after="0" w:line="250"/>
            </w:pPr>
            <w:r>
              <w:rPr>
                <w:b w:val="false"/>
                <w:bCs w:val="false"/>
                <w:sz w:val="19"/>
                <w:szCs w:val="19"/>
              </w:rPr>
              <w:t xml:space="preserve">A parameter appears to have no effect</w:t>
            </w:r>
          </w:p>
        </w:tc>
        <w:tc>
          <w:tcPr>
            <w:tcW w:type="dxa" w:w="6900"/>
            <w:tcMar>
              <w:top w:type="dxa" w:w="65"/>
              <w:left w:type="dxa" w:w="105"/>
              <w:bottom w:type="dxa" w:w="65"/>
              <w:right w:type="dxa" w:w="105"/>
            </w:tcMar>
          </w:tcPr>
          <w:p>
            <w:pPr>
              <w:spacing w:after="0" w:line="250"/>
            </w:pPr>
            <w:r>
              <w:rPr>
                <w:b w:val="false"/>
                <w:bCs w:val="false"/>
                <w:sz w:val="19"/>
                <w:szCs w:val="19"/>
              </w:rPr>
              <w:t xml:space="preserve">Sample parameters are specific to each sample. A key that a given sample does not define is accepted and stored without being read, so check the parameter list of the sample being loaded.</w:t>
            </w:r>
          </w:p>
        </w:tc>
      </w:tr>
      <w:tr>
        <w:trPr>
          <w:cantSplit/>
        </w:trPr>
        <w:tc>
          <w:tcPr>
            <w:tcW w:type="dxa" w:w="2700"/>
            <w:tcMar>
              <w:top w:type="dxa" w:w="65"/>
              <w:left w:type="dxa" w:w="105"/>
              <w:bottom w:type="dxa" w:w="65"/>
              <w:right w:type="dxa" w:w="105"/>
            </w:tcMar>
          </w:tcPr>
          <w:p>
            <w:pPr>
              <w:spacing w:after="0" w:line="250"/>
            </w:pPr>
            <w:r>
              <w:rPr>
                <w:b w:val="false"/>
                <w:bCs w:val="false"/>
                <w:sz w:val="19"/>
                <w:szCs w:val="19"/>
              </w:rPr>
              <w:t xml:space="preserve">A wide scan sees the same structure twice</w:t>
            </w:r>
          </w:p>
        </w:tc>
        <w:tc>
          <w:tcPr>
            <w:tcW w:type="dxa" w:w="6900"/>
            <w:tcMar>
              <w:top w:type="dxa" w:w="65"/>
              <w:left w:type="dxa" w:w="105"/>
              <w:bottom w:type="dxa" w:w="65"/>
              <w:right w:type="dxa" w:w="105"/>
            </w:tcMar>
          </w:tcPr>
          <w:p>
            <w:pPr>
              <w:spacing w:after="0" w:line="250"/>
            </w:pPr>
            <w:r>
              <w:rPr>
                <w:b w:val="false"/>
                <w:bCs w:val="false"/>
                <w:sz w:val="19"/>
                <w:szCs w:val="19"/>
              </w:rPr>
              <w:t xml:space="preserve">Twelve of the thirteen samples repeat with a 20 µm period. A survey grid whose full extent exceeds that will revisit ground it has already covered. Keep the extent of a scan inside 20 µm, or use the synthetic-feature testbed, which does not repeat.</w:t>
            </w:r>
          </w:p>
        </w:tc>
      </w:tr>
    </w:tbl>
    <w:p>
      <w:pPr>
        <w:spacing w:after="150" w:line="290"/>
      </w:pPr>
      <w:r>
        <w:t xml:space="preserve">One distinction underlies several of these. Settings that belong to the microscope — depth of field, defocus, stage position and tilt — are identical for all thirteen specimens. Parameters that belong to a specimen — how many features it contains, how they are sized, how they are arranged through its thickness — differ from sample to sample, as they must. A knob available on one sample does not necessarily exist on another, and where it does not, it is accepted and ignored rather than raising an error.</w:t>
      </w:r>
    </w:p>
    <w:p>
      <w:pPr>
        <w:pStyle w:val="Heading1"/>
        <w:spacing w:after="170" w:before="380"/>
      </w:pPr>
      <w:r>
        <w:rPr>
          <w:b/>
          <w:bCs/>
          <w:color w:val="1F3864"/>
          <w:sz w:val="28"/>
          <w:szCs w:val="28"/>
        </w:rPr>
        <w:t xml:space="preserve">10. The notebooks</w:t>
      </w:r>
    </w:p>
    <w:p>
      <w:pPr>
        <w:spacing w:after="150" w:line="290"/>
      </w:pPr>
      <w:r>
        <w:t xml:space="preserve">Each writes the same specimen package, server and client, byte for byte; they differ only in what they demonstrate.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6500"/>
      </w:tblGrid>
      <w:tr>
        <w:trPr>
          <w:tblHeader/>
        </w:trPr>
        <w:tc>
          <w:tcPr>
            <w:tcW w:type="dxa" w:w="3100"/>
            <w:shd w:fill="DEEAF6" w:val="clear"/>
            <w:tcMar>
              <w:top w:type="dxa" w:w="65"/>
              <w:left w:type="dxa" w:w="105"/>
              <w:bottom w:type="dxa" w:w="65"/>
              <w:right w:type="dxa" w:w="105"/>
            </w:tcMar>
          </w:tcPr>
          <w:p>
            <w:pPr>
              <w:spacing w:after="0" w:line="250"/>
            </w:pPr>
            <w:r>
              <w:rPr>
                <w:b/>
                <w:bCs/>
                <w:sz w:val="19"/>
                <w:szCs w:val="19"/>
              </w:rPr>
              <w:t xml:space="preserve">Notebook</w:t>
            </w:r>
          </w:p>
        </w:tc>
        <w:tc>
          <w:tcPr>
            <w:tcW w:type="dxa" w:w="6500"/>
            <w:shd w:fill="DEEAF6" w:val="clear"/>
            <w:tcMar>
              <w:top w:type="dxa" w:w="65"/>
              <w:left w:type="dxa" w:w="105"/>
              <w:bottom w:type="dxa" w:w="65"/>
              <w:right w:type="dxa" w:w="105"/>
            </w:tcMar>
          </w:tcPr>
          <w:p>
            <w:pPr>
              <w:spacing w:after="0" w:line="250"/>
            </w:pPr>
            <w:r>
              <w:rPr>
                <w:b/>
                <w:bCs/>
                <w:sz w:val="19"/>
                <w:szCs w:val="19"/>
              </w:rPr>
              <w:t xml:space="preserve">Contents</w:t>
            </w:r>
          </w:p>
        </w:tc>
      </w:tr>
      <w:tr>
        <w:trPr>
          <w:cantSplit/>
        </w:trPr>
        <w:tc>
          <w:tcPr>
            <w:tcW w:type="dxa" w:w="3100"/>
            <w:tcMar>
              <w:top w:type="dxa" w:w="65"/>
              <w:left w:type="dxa" w:w="105"/>
              <w:bottom w:type="dxa" w:w="65"/>
              <w:right w:type="dxa" w:w="105"/>
            </w:tcMar>
          </w:tcPr>
          <w:p>
            <w:pPr>
              <w:spacing w:after="0" w:line="250"/>
            </w:pPr>
            <w:r>
              <w:rPr>
                <w:b w:val="false"/>
                <w:bCs w:val="false"/>
                <w:sz w:val="19"/>
                <w:szCs w:val="19"/>
              </w:rPr>
              <w:t xml:space="preserve">STEM_Digital_Twin_Kinematical</w:t>
            </w:r>
          </w:p>
        </w:tc>
        <w:tc>
          <w:tcPr>
            <w:tcW w:type="dxa" w:w="6500"/>
            <w:tcMar>
              <w:top w:type="dxa" w:w="65"/>
              <w:left w:type="dxa" w:w="105"/>
              <w:bottom w:type="dxa" w:w="65"/>
              <w:right w:type="dxa" w:w="105"/>
            </w:tcMar>
          </w:tcPr>
          <w:p>
            <w:pPr>
              <w:spacing w:after="0" w:line="250"/>
            </w:pPr>
            <w:r>
              <w:rPr>
                <w:b w:val="false"/>
                <w:bCs w:val="false"/>
                <w:sz w:val="19"/>
                <w:szCs w:val="19"/>
              </w:rPr>
              <w:t xml:space="preserve">The twin itself. Specimens, imaging, diffraction, thickness, drift, contamination, depth of field, magnification and stage safety, feature finding, and the backend abstraction. Every demonstration is driven by instrument controls alone.</w:t>
            </w:r>
          </w:p>
        </w:tc>
      </w:tr>
      <w:tr>
        <w:trPr>
          <w:cantSplit/>
        </w:trPr>
        <w:tc>
          <w:tcPr>
            <w:tcW w:type="dxa" w:w="3100"/>
            <w:tcMar>
              <w:top w:type="dxa" w:w="65"/>
              <w:left w:type="dxa" w:w="105"/>
              <w:bottom w:type="dxa" w:w="65"/>
              <w:right w:type="dxa" w:w="105"/>
            </w:tcMar>
          </w:tcPr>
          <w:p>
            <w:pPr>
              <w:spacing w:after="0" w:line="250"/>
            </w:pPr>
            <w:r>
              <w:rPr>
                <w:b w:val="false"/>
                <w:bCs w:val="false"/>
                <w:sz w:val="19"/>
                <w:szCs w:val="19"/>
              </w:rPr>
              <w:t xml:space="preserve">Demo — shape assembly</w:t>
            </w:r>
          </w:p>
        </w:tc>
        <w:tc>
          <w:tcPr>
            <w:tcW w:type="dxa" w:w="6500"/>
            <w:tcMar>
              <w:top w:type="dxa" w:w="65"/>
              <w:left w:type="dxa" w:w="105"/>
              <w:bottom w:type="dxa" w:w="65"/>
              <w:right w:type="dxa" w:w="105"/>
            </w:tcMar>
          </w:tcPr>
          <w:p>
            <w:pPr>
              <w:spacing w:after="0" w:line="250"/>
            </w:pPr>
            <w:r>
              <w:rPr>
                <w:b w:val="false"/>
                <w:bCs w:val="false"/>
                <w:sz w:val="19"/>
                <w:szCs w:val="19"/>
              </w:rPr>
              <w:t xml:space="preserve">The synthetic-feature testbed on its own: what its structural parameters do, how far its features are distributed through the foil, and how the width of the tilted in-focus band is set. It closes with an analytic particle projector used as a fidelity reference.</w:t>
            </w:r>
          </w:p>
        </w:tc>
      </w:tr>
      <w:tr>
        <w:trPr>
          <w:cantSplit/>
        </w:trPr>
        <w:tc>
          <w:tcPr>
            <w:tcW w:type="dxa" w:w="3100"/>
            <w:tcMar>
              <w:top w:type="dxa" w:w="65"/>
              <w:left w:type="dxa" w:w="105"/>
              <w:bottom w:type="dxa" w:w="65"/>
              <w:right w:type="dxa" w:w="105"/>
            </w:tcMar>
          </w:tcPr>
          <w:p>
            <w:pPr>
              <w:spacing w:after="0" w:line="250"/>
            </w:pPr>
            <w:r>
              <w:rPr>
                <w:b w:val="false"/>
                <w:bCs w:val="false"/>
                <w:sz w:val="19"/>
                <w:szCs w:val="19"/>
              </w:rPr>
              <w:t xml:space="preserve">Demo — limits and bounds</w:t>
            </w:r>
          </w:p>
        </w:tc>
        <w:tc>
          <w:tcPr>
            <w:tcW w:type="dxa" w:w="6500"/>
            <w:tcMar>
              <w:top w:type="dxa" w:w="65"/>
              <w:left w:type="dxa" w:w="105"/>
              <w:bottom w:type="dxa" w:w="65"/>
              <w:right w:type="dxa" w:w="105"/>
            </w:tcMar>
          </w:tcPr>
          <w:p>
            <w:pPr>
              <w:spacing w:after="0" w:line="250"/>
            </w:pPr>
            <w:r>
              <w:rPr>
                <w:b w:val="false"/>
                <w:bCs w:val="false"/>
                <w:sz w:val="19"/>
                <w:szCs w:val="19"/>
              </w:rPr>
              <w:t xml:space="preserve">Live sliders that push each parameter until the image stops making sense, so the working range of each can be read off directly.</w:t>
            </w:r>
          </w:p>
        </w:tc>
      </w:tr>
      <w:tr>
        <w:trPr>
          <w:cantSplit/>
        </w:trPr>
        <w:tc>
          <w:tcPr>
            <w:tcW w:type="dxa" w:w="3100"/>
            <w:tcMar>
              <w:top w:type="dxa" w:w="65"/>
              <w:left w:type="dxa" w:w="105"/>
              <w:bottom w:type="dxa" w:w="65"/>
              <w:right w:type="dxa" w:w="105"/>
            </w:tcMar>
          </w:tcPr>
          <w:p>
            <w:pPr>
              <w:spacing w:after="0" w:line="250"/>
            </w:pPr>
            <w:r>
              <w:rPr>
                <w:b w:val="false"/>
                <w:bCs w:val="false"/>
                <w:sz w:val="19"/>
                <w:szCs w:val="19"/>
              </w:rPr>
              <w:t xml:space="preserve">Appendix A — abTEM multislice</w:t>
            </w:r>
          </w:p>
        </w:tc>
        <w:tc>
          <w:tcPr>
            <w:tcW w:type="dxa" w:w="6500"/>
            <w:tcMar>
              <w:top w:type="dxa" w:w="65"/>
              <w:left w:type="dxa" w:w="105"/>
              <w:bottom w:type="dxa" w:w="65"/>
              <w:right w:type="dxa" w:w="105"/>
            </w:tcMar>
          </w:tcPr>
          <w:p>
            <w:pPr>
              <w:spacing w:after="0" w:line="250"/>
            </w:pPr>
            <w:r>
              <w:rPr>
                <w:b w:val="false"/>
                <w:bCs w:val="false"/>
                <w:sz w:val="19"/>
                <w:szCs w:val="19"/>
              </w:rPr>
              <w:t xml:space="preserve">Dynamical diffraction on the same specimen, with frozen phonons, 4D-STEM generation and a py4DSTEM round-trip.</w:t>
            </w:r>
          </w:p>
        </w:tc>
      </w:tr>
      <w:tr>
        <w:trPr>
          <w:cantSplit/>
        </w:trPr>
        <w:tc>
          <w:tcPr>
            <w:tcW w:type="dxa" w:w="3100"/>
            <w:tcMar>
              <w:top w:type="dxa" w:w="65"/>
              <w:left w:type="dxa" w:w="105"/>
              <w:bottom w:type="dxa" w:w="65"/>
              <w:right w:type="dxa" w:w="105"/>
            </w:tcMar>
          </w:tcPr>
          <w:p>
            <w:pPr>
              <w:spacing w:after="0" w:line="250"/>
            </w:pPr>
            <w:r>
              <w:rPr>
                <w:b w:val="false"/>
                <w:bCs w:val="false"/>
                <w:sz w:val="19"/>
                <w:szCs w:val="19"/>
              </w:rPr>
              <w:t xml:space="preserve">Appendix B — EELS</w:t>
            </w:r>
          </w:p>
        </w:tc>
        <w:tc>
          <w:tcPr>
            <w:tcW w:type="dxa" w:w="6500"/>
            <w:tcMar>
              <w:top w:type="dxa" w:w="65"/>
              <w:left w:type="dxa" w:w="105"/>
              <w:bottom w:type="dxa" w:w="65"/>
              <w:right w:type="dxa" w:w="105"/>
            </w:tcMar>
          </w:tcPr>
          <w:p>
            <w:pPr>
              <w:spacing w:after="0" w:line="250"/>
            </w:pPr>
            <w:r>
              <w:rPr>
                <w:b w:val="false"/>
                <w:bCs w:val="false"/>
                <w:sz w:val="19"/>
                <w:szCs w:val="19"/>
              </w:rPr>
              <w:t xml:space="preserve">Single-spot spectrum acquisition and the interface a real spectrometer sits behind.</w:t>
            </w:r>
          </w:p>
        </w:tc>
      </w:tr>
      <w:tr>
        <w:trPr>
          <w:cantSplit/>
        </w:trPr>
        <w:tc>
          <w:tcPr>
            <w:tcW w:type="dxa" w:w="3100"/>
            <w:tcMar>
              <w:top w:type="dxa" w:w="65"/>
              <w:left w:type="dxa" w:w="105"/>
              <w:bottom w:type="dxa" w:w="65"/>
              <w:right w:type="dxa" w:w="105"/>
            </w:tcMar>
          </w:tcPr>
          <w:p>
            <w:pPr>
              <w:spacing w:after="0" w:line="250"/>
            </w:pPr>
            <w:r>
              <w:rPr>
                <w:b w:val="false"/>
                <w:bCs w:val="false"/>
                <w:sz w:val="19"/>
                <w:szCs w:val="19"/>
              </w:rPr>
              <w:t xml:space="preserve">Appendix C — Porting to a real instrument</w:t>
            </w:r>
          </w:p>
        </w:tc>
        <w:tc>
          <w:tcPr>
            <w:tcW w:type="dxa" w:w="6500"/>
            <w:tcMar>
              <w:top w:type="dxa" w:w="65"/>
              <w:left w:type="dxa" w:w="105"/>
              <w:bottom w:type="dxa" w:w="65"/>
              <w:right w:type="dxa" w:w="105"/>
            </w:tcMar>
          </w:tcPr>
          <w:p>
            <w:pPr>
              <w:spacing w:after="0" w:line="250"/>
            </w:pPr>
            <w:r>
              <w:rPr>
                <w:b w:val="false"/>
                <w:bCs w:val="false"/>
                <w:sz w:val="19"/>
                <w:szCs w:val="19"/>
              </w:rPr>
              <w:t xml:space="preserve">The ten-method specification a backend is built to, with vendor adapter skeletons for ThermoFisher, Nion and JEOL.</w:t>
            </w:r>
          </w:p>
        </w:tc>
      </w:tr>
      <w:tr>
        <w:trPr>
          <w:cantSplit/>
        </w:trPr>
        <w:tc>
          <w:tcPr>
            <w:tcW w:type="dxa" w:w="3100"/>
            <w:tcMar>
              <w:top w:type="dxa" w:w="65"/>
              <w:left w:type="dxa" w:w="105"/>
              <w:bottom w:type="dxa" w:w="65"/>
              <w:right w:type="dxa" w:w="105"/>
            </w:tcMar>
          </w:tcPr>
          <w:p>
            <w:pPr>
              <w:spacing w:after="0" w:line="250"/>
            </w:pPr>
            <w:r>
              <w:rPr>
                <w:b w:val="false"/>
                <w:bCs w:val="false"/>
                <w:sz w:val="19"/>
                <w:szCs w:val="19"/>
              </w:rPr>
              <w:t xml:space="preserve">Appendix D — An ambiguously specified workflow</w:t>
            </w:r>
          </w:p>
        </w:tc>
        <w:tc>
          <w:tcPr>
            <w:tcW w:type="dxa" w:w="6500"/>
            <w:tcMar>
              <w:top w:type="dxa" w:w="65"/>
              <w:left w:type="dxa" w:w="105"/>
              <w:bottom w:type="dxa" w:w="65"/>
              <w:right w:type="dxa" w:w="105"/>
            </w:tcMar>
          </w:tcPr>
          <w:p>
            <w:pPr>
              <w:spacing w:after="0" w:line="250"/>
            </w:pPr>
            <w:r>
              <w:rPr>
                <w:b w:val="false"/>
                <w:bCs w:val="false"/>
                <w:sz w:val="19"/>
                <w:szCs w:val="19"/>
              </w:rPr>
              <w:t xml:space="preserve">A survey-and-characterise routine that finds features, ranks them by an explicit policy and drives the stage to the most promising.</w:t>
            </w:r>
          </w:p>
        </w:tc>
      </w:tr>
    </w:tbl>
    <w:p>
      <w:pPr>
        <w:pStyle w:val="Heading1"/>
        <w:spacing w:after="170" w:before="380"/>
      </w:pPr>
      <w:r>
        <w:rPr>
          <w:b/>
          <w:bCs/>
          <w:color w:val="1F3864"/>
          <w:sz w:val="28"/>
          <w:szCs w:val="28"/>
        </w:rPr>
        <w:t xml:space="preserve">11. Moving to a real instrument</w:t>
      </w:r>
    </w:p>
    <w:p>
      <w:pPr>
        <w:spacing w:after="150" w:line="290"/>
      </w:pPr>
      <w:r>
        <w:t xml:space="preserve">A workflow talks to a backend object, never to the twin directly:</w:t>
      </w:r>
    </w:p>
    <w:p>
      <w:pPr>
        <w:pBdr>
          <w:left w:val="single" w:color="D0D0D0" w:sz="12" w:space="10"/>
        </w:pBdr>
        <w:shd w:fill="F5F5F5" w:val="clear"/>
        <w:spacing w:after="160" w:before="100" w:line="265"/>
        <w:ind w:left="200"/>
      </w:pPr>
      <w:r>
        <w:rPr>
          <w:rFonts w:ascii="Consolas" w:cs="Consolas" w:eastAsia="Consolas" w:hAnsi="Consolas"/>
          <w:sz w:val="18"/>
          <w:szCs w:val="18"/>
        </w:rPr>
        <w:t xml:space="preserve">def survey_then_focus(backend, fov_um=30.0, current_pA=100.0):</w:t>
      </w:r>
      <w:r>
        <w:br/>
      </w:r>
      <w:r>
        <w:rPr>
          <w:rFonts w:ascii="Consolas" w:cs="Consolas" w:eastAsia="Consolas" w:hAnsi="Consolas"/>
          <w:sz w:val="18"/>
          <w:szCs w:val="18"/>
        </w:rPr>
        <w:t xml:space="preserve">    backend.set_beam(current_pA=current_pA, disabled=False)</w:t>
      </w:r>
      <w:r>
        <w:br/>
      </w:r>
      <w:r>
        <w:rPr>
          <w:rFonts w:ascii="Consolas" w:cs="Consolas" w:eastAsia="Consolas" w:hAnsi="Consolas"/>
          <w:sz w:val="18"/>
          <w:szCs w:val="18"/>
        </w:rPr>
        <w:t xml:space="preserve">    backend.set_fov_um(fov_um)</w:t>
      </w:r>
      <w:r>
        <w:br/>
      </w:r>
      <w:r>
        <w:rPr>
          <w:rFonts w:ascii="Consolas" w:cs="Consolas" w:eastAsia="Consolas" w:hAnsi="Consolas"/>
          <w:sz w:val="18"/>
          <w:szCs w:val="18"/>
        </w:rPr>
        <w:t xml:space="preserve">    af = backend.autofocus()</w:t>
      </w:r>
      <w:r>
        <w:br/>
      </w:r>
      <w:r>
        <w:rPr>
          <w:rFonts w:ascii="Consolas" w:cs="Consolas" w:eastAsia="Consolas" w:hAnsi="Consolas"/>
          <w:sz w:val="18"/>
          <w:szCs w:val="18"/>
        </w:rPr>
        <w:t xml:space="preserve">    return af, backend.acquire_image().shape</w:t>
      </w:r>
    </w:p>
    <w:p>
      <w:pPr>
        <w:spacing w:after="150" w:line="290"/>
      </w:pPr>
      <w:r>
        <w:t xml:space="preserve">Nothing in that function knows what it is driving. Deploying means constructing a different backend and passing it in. The interface is ten methods: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700"/>
        <w:gridCol w:w="4900"/>
      </w:tblGrid>
      <w:tr>
        <w:trPr>
          <w:tblHeader/>
        </w:trPr>
        <w:tc>
          <w:tcPr>
            <w:tcW w:type="dxa" w:w="4700"/>
            <w:shd w:fill="DEEAF6" w:val="clear"/>
            <w:tcMar>
              <w:top w:type="dxa" w:w="65"/>
              <w:left w:type="dxa" w:w="105"/>
              <w:bottom w:type="dxa" w:w="65"/>
              <w:right w:type="dxa" w:w="105"/>
            </w:tcMar>
          </w:tcPr>
          <w:p>
            <w:pPr>
              <w:spacing w:after="0" w:line="250"/>
            </w:pPr>
            <w:r>
              <w:rPr>
                <w:b/>
                <w:bCs/>
                <w:sz w:val="19"/>
                <w:szCs w:val="19"/>
              </w:rPr>
              <w:t xml:space="preserve">Method</w:t>
            </w:r>
          </w:p>
        </w:tc>
        <w:tc>
          <w:tcPr>
            <w:tcW w:type="dxa" w:w="4900"/>
            <w:shd w:fill="DEEAF6" w:val="clear"/>
            <w:tcMar>
              <w:top w:type="dxa" w:w="65"/>
              <w:left w:type="dxa" w:w="105"/>
              <w:bottom w:type="dxa" w:w="65"/>
              <w:right w:type="dxa" w:w="105"/>
            </w:tcMar>
          </w:tcPr>
          <w:p>
            <w:pPr>
              <w:spacing w:after="0" w:line="250"/>
            </w:pPr>
            <w:r>
              <w:rPr>
                <w:b/>
                <w:bCs/>
                <w:sz w:val="19"/>
                <w:szCs w:val="19"/>
              </w:rPr>
              <w:t xml:space="preserve">Contract</w:t>
            </w:r>
          </w:p>
        </w:tc>
      </w:tr>
      <w:tr>
        <w:trPr>
          <w:cantSplit/>
        </w:trPr>
        <w:tc>
          <w:tcPr>
            <w:tcW w:type="dxa" w:w="470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get_stage() / set_stage(x, y, z, a, b, relative)</w:t>
            </w:r>
          </w:p>
        </w:tc>
        <w:tc>
          <w:tcPr>
            <w:tcW w:type="dxa" w:w="4900"/>
            <w:tcMar>
              <w:top w:type="dxa" w:w="65"/>
              <w:left w:type="dxa" w:w="105"/>
              <w:bottom w:type="dxa" w:w="65"/>
              <w:right w:type="dxa" w:w="105"/>
            </w:tcMar>
          </w:tcPr>
          <w:p>
            <w:pPr>
              <w:spacing w:after="0" w:line="250"/>
            </w:pPr>
            <w:r>
              <w:rPr>
                <w:b w:val="false"/>
                <w:bCs w:val="false"/>
                <w:sz w:val="19"/>
                <w:szCs w:val="19"/>
              </w:rPr>
              <w:t xml:space="preserve">x, y, z in metres; a, b in degrees</w:t>
            </w:r>
          </w:p>
        </w:tc>
      </w:tr>
      <w:tr>
        <w:trPr>
          <w:cantSplit/>
        </w:trPr>
        <w:tc>
          <w:tcPr>
            <w:tcW w:type="dxa" w:w="470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get_beam() / set_beam(current_pA, voltage_kV, disabled)</w:t>
            </w:r>
          </w:p>
        </w:tc>
        <w:tc>
          <w:tcPr>
            <w:tcW w:type="dxa" w:w="4900"/>
            <w:tcMar>
              <w:top w:type="dxa" w:w="65"/>
              <w:left w:type="dxa" w:w="105"/>
              <w:bottom w:type="dxa" w:w="65"/>
              <w:right w:type="dxa" w:w="105"/>
            </w:tcMar>
          </w:tcPr>
          <w:p>
            <w:pPr>
              <w:spacing w:after="0" w:line="250"/>
            </w:pPr>
            <w:r>
              <w:rPr>
                <w:b w:val="false"/>
                <w:bCs w:val="false"/>
                <w:sz w:val="19"/>
                <w:szCs w:val="19"/>
              </w:rPr>
              <w:t xml:space="preserve">pA and kV; disabled defaults to true</w:t>
            </w:r>
          </w:p>
        </w:tc>
      </w:tr>
      <w:tr>
        <w:trPr>
          <w:cantSplit/>
        </w:trPr>
        <w:tc>
          <w:tcPr>
            <w:tcW w:type="dxa" w:w="470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set_mode(mode)</w:t>
            </w:r>
          </w:p>
        </w:tc>
        <w:tc>
          <w:tcPr>
            <w:tcW w:type="dxa" w:w="4900"/>
            <w:tcMar>
              <w:top w:type="dxa" w:w="65"/>
              <w:left w:type="dxa" w:w="105"/>
              <w:bottom w:type="dxa" w:w="65"/>
              <w:right w:type="dxa" w:w="105"/>
            </w:tcMar>
          </w:tcPr>
          <w:p>
            <w:pPr>
              <w:spacing w:after="0" w:line="250"/>
            </w:pPr>
            <w:r>
              <w:rPr>
                <w:b w:val="false"/>
                <w:bCs w:val="false"/>
                <w:sz w:val="19"/>
                <w:szCs w:val="19"/>
              </w:rPr>
              <w:t xml:space="preserve">"IMG" or "DIFF"</w:t>
            </w:r>
          </w:p>
        </w:tc>
      </w:tr>
      <w:tr>
        <w:trPr>
          <w:cantSplit/>
        </w:trPr>
        <w:tc>
          <w:tcPr>
            <w:tcW w:type="dxa" w:w="470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set_fov_um(fov_um)</w:t>
            </w:r>
          </w:p>
        </w:tc>
        <w:tc>
          <w:tcPr>
            <w:tcW w:type="dxa" w:w="4900"/>
            <w:tcMar>
              <w:top w:type="dxa" w:w="65"/>
              <w:left w:type="dxa" w:w="105"/>
              <w:bottom w:type="dxa" w:w="65"/>
              <w:right w:type="dxa" w:w="105"/>
            </w:tcMar>
          </w:tcPr>
          <w:p>
            <w:pPr>
              <w:spacing w:after="0" w:line="250"/>
            </w:pPr>
            <w:r>
              <w:rPr>
                <w:b w:val="false"/>
                <w:bCs w:val="false"/>
                <w:sz w:val="19"/>
                <w:szCs w:val="19"/>
              </w:rPr>
              <w:t xml:space="preserve">field of view in micrometres</w:t>
            </w:r>
          </w:p>
        </w:tc>
      </w:tr>
      <w:tr>
        <w:trPr>
          <w:cantSplit/>
        </w:trPr>
        <w:tc>
          <w:tcPr>
            <w:tcW w:type="dxa" w:w="470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get_magnification() / set_magnification(magnification)</w:t>
            </w:r>
          </w:p>
        </w:tc>
        <w:tc>
          <w:tcPr>
            <w:tcW w:type="dxa" w:w="4900"/>
            <w:tcMar>
              <w:top w:type="dxa" w:w="65"/>
              <w:left w:type="dxa" w:w="105"/>
              <w:bottom w:type="dxa" w:w="65"/>
              <w:right w:type="dxa" w:w="105"/>
            </w:tcMar>
          </w:tcPr>
          <w:p>
            <w:pPr>
              <w:spacing w:after="0" w:line="250"/>
            </w:pPr>
            <w:r>
              <w:rPr>
                <w:b w:val="false"/>
                <w:bCs w:val="false"/>
                <w:sz w:val="19"/>
                <w:szCs w:val="19"/>
              </w:rPr>
              <w:t xml:space="preserve">returns both magnification and field of view</w:t>
            </w:r>
          </w:p>
        </w:tc>
      </w:tr>
      <w:tr>
        <w:trPr>
          <w:cantSplit/>
        </w:trPr>
        <w:tc>
          <w:tcPr>
            <w:tcW w:type="dxa" w:w="470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acquire_image()</w:t>
            </w:r>
          </w:p>
        </w:tc>
        <w:tc>
          <w:tcPr>
            <w:tcW w:type="dxa" w:w="4900"/>
            <w:tcMar>
              <w:top w:type="dxa" w:w="65"/>
              <w:left w:type="dxa" w:w="105"/>
              <w:bottom w:type="dxa" w:w="65"/>
              <w:right w:type="dxa" w:w="105"/>
            </w:tcMar>
          </w:tcPr>
          <w:p>
            <w:pPr>
              <w:spacing w:after="0" w:line="250"/>
            </w:pPr>
            <w:r>
              <w:rPr>
                <w:b w:val="false"/>
                <w:bCs w:val="false"/>
                <w:sz w:val="19"/>
                <w:szCs w:val="19"/>
              </w:rPr>
              <w:t xml:space="preserve">a plain two-dimensional array</w:t>
            </w:r>
          </w:p>
        </w:tc>
      </w:tr>
      <w:tr>
        <w:trPr>
          <w:cantSplit/>
        </w:trPr>
        <w:tc>
          <w:tcPr>
            <w:tcW w:type="dxa" w:w="4700"/>
            <w:tcMar>
              <w:top w:type="dxa" w:w="65"/>
              <w:left w:type="dxa" w:w="105"/>
              <w:bottom w:type="dxa" w:w="65"/>
              <w:right w:type="dxa" w:w="105"/>
            </w:tcMar>
          </w:tcPr>
          <w:p>
            <w:pPr>
              <w:spacing w:after="0" w:line="250"/>
            </w:pPr>
            <w:r>
              <w:rPr>
                <w:rFonts w:ascii="Consolas" w:cs="Consolas" w:eastAsia="Consolas" w:hAnsi="Consolas"/>
                <w:b w:val="false"/>
                <w:bCs w:val="false"/>
                <w:sz w:val="17"/>
                <w:szCs w:val="17"/>
              </w:rPr>
              <w:t xml:space="preserve">autofocus()</w:t>
            </w:r>
          </w:p>
        </w:tc>
        <w:tc>
          <w:tcPr>
            <w:tcW w:type="dxa" w:w="4900"/>
            <w:tcMar>
              <w:top w:type="dxa" w:w="65"/>
              <w:left w:type="dxa" w:w="105"/>
              <w:bottom w:type="dxa" w:w="65"/>
              <w:right w:type="dxa" w:w="105"/>
            </w:tcMar>
          </w:tcPr>
          <w:p>
            <w:pPr>
              <w:spacing w:after="0" w:line="250"/>
            </w:pPr>
            <w:r>
              <w:rPr>
                <w:b w:val="false"/>
                <w:bCs w:val="false"/>
                <w:sz w:val="19"/>
                <w:szCs w:val="19"/>
              </w:rPr>
              <w:t xml:space="preserve">a dictionary containing a converged flag</w:t>
            </w:r>
          </w:p>
        </w:tc>
      </w:tr>
    </w:tbl>
    <w:p>
      <w:pPr>
        <w:spacing w:after="150" w:line="290"/>
      </w:pPr>
      <w:r>
        <w:t xml:space="preserve">Adapters for ThermoFisher (AutoScript), Nion and JEOL (PyJEM) are provided as skeletons carrying the SDK calls as documented. They are unvalidated on hardware: axis signs, unit conventions, settle behaviour and detector identity have to be checked at the instrument by a person.</w:t>
      </w:r>
    </w:p>
    <w:p>
      <w:pPr>
        <w:spacing w:after="150" w:line="290"/>
      </w:pPr>
      <w:r>
        <w:t xml:space="preserve">We would not recommend generating an adapter automatically. None of those facts can be established from documentation, and code that is wrong in any of them is not distinguishable from correct code by inspection — a drift correction that runs the wrong way, or a blanking call that is accepted and ignored, is expressed on hardware rather than caught in review. What the interface guarantees is the shape of the call and that a workflow written to it carries no simulation-specific dependency; verifying that a given instrument satisfies it remains a manual step.</w:t>
      </w:r>
    </w:p>
    <w:sectPr>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STEM Digital Twin — guide</dc:title>
  <dc:creator>STEM Digital Twin</dc:creator>
  <cp:lastModifiedBy>Un-named</cp:lastModifiedBy>
  <cp:revision>1</cp:revision>
  <dcterms:created xsi:type="dcterms:W3CDTF">2026-08-29T23:34:50.526Z</dcterms:created>
  <dcterms:modified xsi:type="dcterms:W3CDTF">2026-08-29T23:34:50.537Z</dcterms:modified>
</cp:coreProperties>
</file>

<file path=docProps/custom.xml><?xml version="1.0" encoding="utf-8"?>
<Properties xmlns="http://schemas.openxmlformats.org/officeDocument/2006/custom-properties" xmlns:vt="http://schemas.openxmlformats.org/officeDocument/2006/docPropsVTypes"/>
</file>