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TestMu AI Certifications — Master Specification</w:t>
      </w:r>
    </w:p>
    <w:p>
      <w:r>
        <w:rPr>
          <w:b/>
        </w:rPr>
        <w:t>Status:</w:t>
      </w:r>
      <w:r>
        <w:t xml:space="preserve"> Draft · </w:t>
      </w:r>
      <w:r>
        <w:rPr>
          <w:b/>
        </w:rPr>
        <w:t>Owner:</w:t>
      </w:r>
      <w:r>
        <w:t xml:space="preserve"> Harish Rajora · </w:t>
      </w:r>
      <w:r>
        <w:rPr>
          <w:b/>
        </w:rPr>
        <w:t>Last updated:</w:t>
      </w:r>
      <w:r>
        <w:t xml:space="preserve"> 31 July 2026</w:t>
      </w:r>
    </w:p>
    <w:p>
      <w:r>
        <w:t xml:space="preserve">This is the top-level specification. It states what we are building and why, fixes the technology and the architectural rules, and indexes every module. </w:t>
      </w:r>
      <w:r>
        <w:rPr>
          <w:b/>
        </w:rPr>
        <w:t>Detailed specs live with their modules</w:t>
      </w:r>
      <w:r>
        <w:t xml:space="preserve"> — this document links to them rather than restating them, so it stays short enough to remain accurate.</w:t>
      </w:r>
    </w:p>
    <w:p>
      <w:r>
        <w:t>Developers: when you start a module, write its detailed spec at the linked location and update its row in the module index.</w:t>
      </w:r>
    </w:p>
    <w:p>
      <w:pPr>
        <w:pStyle w:val="Heading1"/>
      </w:pPr>
      <w:r>
        <w:t>1. Purpose</w:t>
      </w:r>
    </w:p>
    <w:p>
      <w:r>
        <w:t>TestMu AI sells professional certifications. Delivery is currently handled by an external vendor, Eklavya. We are bringing it in house.</w:t>
      </w:r>
    </w:p>
    <w:p>
      <w:r>
        <w:rPr>
          <w:b/>
        </w:rPr>
        <w:t>Why:</w:t>
      </w:r>
    </w:p>
    <w:p>
      <w:pPr>
        <w:pStyle w:val="ListBullet"/>
      </w:pPr>
      <w:r>
        <w:rPr>
          <w:b/>
        </w:rPr>
        <w:t>Control.</w:t>
      </w:r>
      <w:r>
        <w:t xml:space="preserve"> Certification content, grading rules, and the candidate experience are core to the</w:t>
      </w:r>
    </w:p>
    <w:p>
      <w:r>
        <w:t>product and should not sit behind a vendor's roadmap.</w:t>
      </w:r>
    </w:p>
    <w:p>
      <w:pPr>
        <w:pStyle w:val="ListBullet"/>
      </w:pPr>
      <w:r>
        <w:rPr>
          <w:b/>
        </w:rPr>
        <w:t>Cost.</w:t>
      </w:r>
      <w:r>
        <w:t xml:space="preserve"> Per-candidate vendor fees scale badly as volume grows.</w:t>
      </w:r>
    </w:p>
    <w:p>
      <w:pPr>
        <w:pStyle w:val="ListBullet"/>
      </w:pPr>
      <w:r>
        <w:rPr>
          <w:b/>
        </w:rPr>
        <w:t>Data.</w:t>
      </w:r>
      <w:r>
        <w:t xml:space="preserve"> Attempt data, pass rates, and question performance are valuable and currently not ours</w:t>
      </w:r>
    </w:p>
    <w:p>
      <w:r>
        <w:t>to query.</w:t>
      </w:r>
    </w:p>
    <w:p>
      <w:pPr>
        <w:pStyle w:val="ListBullet"/>
      </w:pPr>
      <w:r>
        <w:rPr>
          <w:b/>
        </w:rPr>
        <w:t>Trust.</w:t>
      </w:r>
      <w:r>
        <w:t xml:space="preserve"> A disputed result must be explainable from our own audit trail.</w:t>
      </w:r>
    </w:p>
    <w:p>
      <w:r>
        <w:rPr>
          <w:b/>
        </w:rPr>
        <w:t>Success looks like:</w:t>
      </w:r>
      <w:r>
        <w:t xml:space="preserve"> candidates book, sit, and pass certifications entirely on our own platform, with results and credentials issued by us — and Eklavya switched off.</w:t>
      </w:r>
    </w:p>
    <w:p>
      <w:pPr>
        <w:pStyle w:val="Heading1"/>
      </w:pPr>
      <w:r>
        <w:t>2. Scope</w:t>
      </w:r>
    </w:p>
    <w:p>
      <w:pPr>
        <w:pStyle w:val="Heading2"/>
      </w:pPr>
      <w:r>
        <w:t>In scope</w:t>
      </w:r>
    </w:p>
    <w:p>
      <w:r>
        <w:t>Everything from slot booking onwards:</w:t>
      </w:r>
    </w:p>
    <w:p>
      <w:pPr>
        <w:pStyle w:val="ListBullet"/>
      </w:pPr>
      <w:r>
        <w:t>Slot scheduling and booking, with capacity</w:t>
      </w:r>
    </w:p>
    <w:p>
      <w:pPr>
        <w:pStyle w:val="ListBullet"/>
      </w:pPr>
      <w:r>
        <w:t>Exam delivery — timed, server-authoritative, autosaving</w:t>
      </w:r>
    </w:p>
    <w:p>
      <w:pPr>
        <w:pStyle w:val="ListBullet"/>
      </w:pPr>
      <w:r>
        <w:t>Grading, both automatic and manual</w:t>
      </w:r>
    </w:p>
    <w:p>
      <w:pPr>
        <w:pStyle w:val="ListBullet"/>
      </w:pPr>
      <w:r>
        <w:t>Result release and notification</w:t>
      </w:r>
    </w:p>
    <w:p>
      <w:pPr>
        <w:pStyle w:val="ListBullet"/>
      </w:pPr>
      <w:r>
        <w:t>Credential issuance, public verification, and revocation</w:t>
      </w:r>
    </w:p>
    <w:p>
      <w:pPr>
        <w:pStyle w:val="ListBullet"/>
      </w:pPr>
      <w:r>
        <w:t>Admin dashboards for certifications, exam versions, the question bank, grading, and slots</w:t>
      </w:r>
    </w:p>
    <w:p>
      <w:pPr>
        <w:pStyle w:val="Heading2"/>
      </w:pPr>
      <w:r>
        <w:t>Out of scope</w:t>
      </w:r>
    </w:p>
    <w:p>
      <w:pPr>
        <w:pStyle w:val="ListBullet"/>
      </w:pPr>
      <w:r>
        <w:rPr>
          <w:b/>
        </w:rPr>
        <w:t>The public catalog.</w:t>
      </w:r>
      <w:r>
        <w:t xml:space="preserve"> Browsing certifications already exists at </w:t>
      </w:r>
      <w:r>
        <w:rPr>
          <w:rFonts w:ascii="Consolas" w:hAnsi="Consolas"/>
          <w:sz w:val="19"/>
        </w:rPr>
        <w:t>testmuai.com/certifications/</w:t>
      </w:r>
    </w:p>
    <w:p>
      <w:r>
        <w:t>and is not rebuilt. Its cards link into our booking page.</w:t>
      </w:r>
    </w:p>
    <w:p>
      <w:pPr>
        <w:pStyle w:val="ListBullet"/>
      </w:pPr>
      <w:r>
        <w:rPr>
          <w:b/>
        </w:rPr>
        <w:t>Login.</w:t>
      </w:r>
      <w:r>
        <w:t xml:space="preserve"> The company's existing login screen authenticates candidates. This application has no</w:t>
      </w:r>
    </w:p>
    <w:p>
      <w:r>
        <w:t>sign-in UI and stores no passwords.</w:t>
      </w:r>
    </w:p>
    <w:p>
      <w:pPr>
        <w:pStyle w:val="Heading2"/>
      </w:pPr>
      <w:r>
        <w:t>Deferred</w:t>
      </w:r>
    </w:p>
    <w:p>
      <w:pPr>
        <w:pStyle w:val="ListBullet"/>
      </w:pPr>
      <w:r>
        <w:rPr>
          <w:b/>
        </w:rPr>
        <w:t>Integration with the main site.</w:t>
      </w:r>
      <w:r>
        <w:t xml:space="preserve"> We build the complete product against a development stub</w:t>
      </w:r>
    </w:p>
    <w:p>
      <w:r>
        <w:t>first, then integrate. See §7 for the risk this carries and how it is managed.</w:t>
      </w:r>
    </w:p>
    <w:p>
      <w:pPr>
        <w:pStyle w:val="ListBullet"/>
      </w:pPr>
      <w:r>
        <w:t>Proctoring, enterprise SSO, and code-execution question types are open decisions (§8).</w:t>
      </w:r>
    </w:p>
    <w:p>
      <w:pPr>
        <w:pStyle w:val="Heading1"/>
      </w:pPr>
      <w:r>
        <w:t>3. Users and roles</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r>
            <w:r>
              <w:rPr>
                <w:b/>
              </w:rPr>
              <w:t>Role</w:t>
            </w:r>
          </w:p>
        </w:tc>
        <w:tc>
          <w:tcPr>
            <w:tcW w:type="dxa" w:w="4320"/>
          </w:tcPr>
          <w:p>
            <w:r>
              <w:rPr>
                <w:b/>
              </w:rPr>
            </w:r>
            <w:r>
              <w:rPr>
                <w:b/>
              </w:rPr>
              <w:t>Description</w:t>
            </w:r>
          </w:p>
        </w:tc>
      </w:tr>
      <w:tr>
        <w:tc>
          <w:tcPr>
            <w:tcW w:type="dxa" w:w="4320"/>
          </w:tcPr>
          <w:p>
            <w:r/>
            <w:r>
              <w:t>Candidate</w:t>
            </w:r>
          </w:p>
        </w:tc>
        <w:tc>
          <w:tcPr>
            <w:tcW w:type="dxa" w:w="4320"/>
          </w:tcPr>
          <w:p>
            <w:r/>
            <w:r>
              <w:t>Books a slot, sits the exam, receives results and a credential</w:t>
            </w:r>
          </w:p>
        </w:tc>
      </w:tr>
      <w:tr>
        <w:tc>
          <w:tcPr>
            <w:tcW w:type="dxa" w:w="4320"/>
          </w:tcPr>
          <w:p>
            <w:r/>
            <w:r>
              <w:t>Admin</w:t>
            </w:r>
          </w:p>
        </w:tc>
        <w:tc>
          <w:tcPr>
            <w:tcW w:type="dxa" w:w="4320"/>
          </w:tcPr>
          <w:p>
            <w:r/>
            <w:r>
              <w:t>Authors certifications, exam versions, and questions; manages slots; releases results</w:t>
            </w:r>
          </w:p>
        </w:tc>
      </w:tr>
      <w:tr>
        <w:tc>
          <w:tcPr>
            <w:tcW w:type="dxa" w:w="4320"/>
          </w:tcPr>
          <w:p>
            <w:r/>
            <w:r>
              <w:t>Grader</w:t>
            </w:r>
          </w:p>
        </w:tc>
        <w:tc>
          <w:tcPr>
            <w:tcW w:type="dxa" w:w="4320"/>
          </w:tcPr>
          <w:p>
            <w:r/>
            <w:r>
              <w:t>Scores manually-graded responses. May be a permission on Admin rather than a separate role.</w:t>
            </w:r>
          </w:p>
        </w:tc>
      </w:tr>
      <w:tr>
        <w:tc>
          <w:tcPr>
            <w:tcW w:type="dxa" w:w="4320"/>
          </w:tcPr>
          <w:p>
            <w:r/>
            <w:r>
              <w:t>Public</w:t>
            </w:r>
          </w:p>
        </w:tc>
        <w:tc>
          <w:tcPr>
            <w:tcW w:type="dxa" w:w="4320"/>
          </w:tcPr>
          <w:p>
            <w:r/>
            <w:r>
              <w:t>Anyone verifying a credential. No account.</w:t>
            </w:r>
          </w:p>
        </w:tc>
      </w:tr>
    </w:tbl>
    <w:p/>
    <w:p>
      <w:r>
        <w:t xml:space="preserve">Roles are held in </w:t>
      </w:r>
      <w:r>
        <w:rPr>
          <w:b/>
        </w:rPr>
        <w:t>our</w:t>
      </w:r>
      <w:r>
        <w:t xml:space="preserve"> database. The main site's login establishes identity only; it cannot grant permissions here.</w:t>
      </w:r>
    </w:p>
    <w:p>
      <w:pPr>
        <w:pStyle w:val="Heading1"/>
      </w:pPr>
      <w:r>
        <w:t>4. Candidate flow</w:t>
      </w:r>
    </w:p>
    <w:p>
      <w:pPr>
        <w:spacing w:after="0"/>
      </w:pPr>
      <w:r>
        <w:rPr>
          <w:rFonts w:ascii="Consolas" w:hAnsi="Consolas"/>
          <w:color w:val="333333"/>
          <w:sz w:val="18"/>
        </w:rPr>
        <w:t>Main TestMu AI site  →  existing company login  →  /book</w:t>
      </w:r>
    </w:p>
    <w:p>
      <w:pPr>
        <w:spacing w:after="0"/>
      </w:pPr>
      <w:r>
        <w:rPr>
          <w:rFonts w:ascii="Consolas" w:hAnsi="Consolas"/>
          <w:color w:val="333333"/>
          <w:sz w:val="18"/>
        </w:rPr>
        <w:t xml:space="preserve">   choose exam + slot  →  wait for slot  →  instructions  →  exam  →  submit</w:t>
      </w:r>
    </w:p>
    <w:p>
      <w:pPr>
        <w:spacing w:after="0"/>
      </w:pPr>
      <w:r>
        <w:rPr>
          <w:rFonts w:ascii="Consolas" w:hAnsi="Consolas"/>
          <w:color w:val="333333"/>
          <w:sz w:val="18"/>
        </w:rPr>
        <w:t xml:space="preserve">   →  "results will be emailed"  →  [grading]  →  admin releases  →  email  →  score report</w:t>
      </w:r>
    </w:p>
    <w:p>
      <w:pPr>
        <w:spacing w:after="0"/>
      </w:pPr>
      <w:r>
        <w:rPr>
          <w:rFonts w:ascii="Consolas" w:hAnsi="Consolas"/>
          <w:color w:val="333333"/>
          <w:sz w:val="18"/>
        </w:rPr>
        <w:t xml:space="preserve">                                                                   →  credential issued</w:t>
      </w:r>
    </w:p>
    <w:p/>
    <w:p>
      <w:r>
        <w:t>Two properties of this flow drive much of the design:</w:t>
      </w:r>
    </w:p>
    <w:p>
      <w:pPr>
        <w:pStyle w:val="ListBullet"/>
      </w:pPr>
      <w:r>
        <w:rPr>
          <w:b/>
        </w:rPr>
        <w:t>Results are released, not shown.</w:t>
      </w:r>
      <w:r>
        <w:t xml:space="preserve"> A score is computed at submission but withheld until an</w:t>
      </w:r>
    </w:p>
    <w:p>
      <w:r>
        <w:t>admin releases it — normally for a whole cohort at once. This allows a broken answer key to be caught before results go out, and prevents candidates learning outcomes ahead of their cohort.</w:t>
      </w:r>
    </w:p>
    <w:p>
      <w:pPr>
        <w:pStyle w:val="ListBullet"/>
      </w:pPr>
      <w:r>
        <w:rPr>
          <w:b/>
        </w:rPr>
        <w:t>The exam player has no navigation.</w:t>
      </w:r>
      <w:r>
        <w:t xml:space="preserve"> Nothing links out of an exam in progress.</w:t>
      </w:r>
    </w:p>
    <w:p>
      <w:pPr>
        <w:pStyle w:val="Heading1"/>
      </w:pPr>
      <w:r>
        <w:t>5. Technology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b/>
              </w:rPr>
            </w:r>
            <w:r>
              <w:rPr>
                <w:b/>
              </w:rPr>
              <w:t>Layer</w:t>
            </w:r>
          </w:p>
        </w:tc>
        <w:tc>
          <w:tcPr>
            <w:tcW w:type="dxa" w:w="2880"/>
          </w:tcPr>
          <w:p>
            <w:r>
              <w:rPr>
                <w:b/>
              </w:rPr>
            </w:r>
            <w:r>
              <w:rPr>
                <w:b/>
              </w:rPr>
              <w:t>Choice</w:t>
            </w:r>
          </w:p>
        </w:tc>
        <w:tc>
          <w:tcPr>
            <w:tcW w:type="dxa" w:w="2880"/>
          </w:tcPr>
          <w:p>
            <w:r>
              <w:rPr>
                <w:b/>
              </w:rPr>
            </w:r>
            <w:r>
              <w:rPr>
                <w:b/>
              </w:rPr>
              <w:t>Rationale</w:t>
            </w:r>
          </w:p>
        </w:tc>
      </w:tr>
      <w:tr>
        <w:tc>
          <w:tcPr>
            <w:tcW w:type="dxa" w:w="2880"/>
          </w:tcPr>
          <w:p>
            <w:r/>
            <w:r>
              <w:t>Language</w:t>
            </w:r>
          </w:p>
        </w:tc>
        <w:tc>
          <w:tcPr>
            <w:tcW w:type="dxa" w:w="2880"/>
          </w:tcPr>
          <w:p>
            <w:r/>
            <w:r>
              <w:t>TypeScript, end to end</w:t>
            </w:r>
          </w:p>
        </w:tc>
        <w:tc>
          <w:tcPr>
            <w:tcW w:type="dxa" w:w="2880"/>
          </w:tcPr>
          <w:p>
            <w:r/>
            <w:r>
              <w:t>One language and one set of validation schemas across server and client</w:t>
            </w:r>
          </w:p>
        </w:tc>
      </w:tr>
      <w:tr>
        <w:tc>
          <w:tcPr>
            <w:tcW w:type="dxa" w:w="2880"/>
          </w:tcPr>
          <w:p>
            <w:r/>
            <w:r>
              <w:t>Application</w:t>
            </w:r>
          </w:p>
        </w:tc>
        <w:tc>
          <w:tcPr>
            <w:tcW w:type="dxa" w:w="2880"/>
          </w:tcPr>
          <w:p>
            <w:r/>
            <w:r>
              <w:t>Next.js, App Router</w:t>
            </w:r>
          </w:p>
        </w:tc>
        <w:tc>
          <w:tcPr>
            <w:tcW w:type="dxa" w:w="2880"/>
          </w:tcPr>
          <w:p>
            <w:r/>
            <w:r>
              <w:t>Single app covering candidate, admin, and public verification surfaces</w:t>
            </w:r>
          </w:p>
        </w:tc>
      </w:tr>
      <w:tr>
        <w:tc>
          <w:tcPr>
            <w:tcW w:type="dxa" w:w="2880"/>
          </w:tcPr>
          <w:p>
            <w:r/>
            <w:r>
              <w:t>Database</w:t>
            </w:r>
          </w:p>
        </w:tc>
        <w:tc>
          <w:tcPr>
            <w:tcW w:type="dxa" w:w="2880"/>
          </w:tcPr>
          <w:p>
            <w:r/>
            <w:r>
              <w:t>PostgreSQL (Neon)</w:t>
            </w:r>
          </w:p>
        </w:tc>
        <w:tc>
          <w:tcPr>
            <w:tcW w:type="dxa" w:w="2880"/>
          </w:tcPr>
          <w:p>
            <w:r/>
            <w:r>
              <w:t>Relational integrity and transactions; a wrong grade is a trust problem, not a bug</w:t>
            </w:r>
          </w:p>
        </w:tc>
      </w:tr>
      <w:tr>
        <w:tc>
          <w:tcPr>
            <w:tcW w:type="dxa" w:w="2880"/>
          </w:tcPr>
          <w:p>
            <w:r/>
            <w:r>
              <w:t>ORM</w:t>
            </w:r>
          </w:p>
        </w:tc>
        <w:tc>
          <w:tcPr>
            <w:tcW w:type="dxa" w:w="2880"/>
          </w:tcPr>
          <w:p>
            <w:r/>
            <w:r>
              <w:t>Drizzle</w:t>
            </w:r>
          </w:p>
        </w:tc>
        <w:tc>
          <w:tcPr>
            <w:tcW w:type="dxa" w:w="2880"/>
          </w:tcPr>
          <w:p>
            <w:r/>
            <w:r>
              <w:t>Thin over SQL, keeps Postgres features reachable</w:t>
            </w:r>
          </w:p>
        </w:tc>
      </w:tr>
      <w:tr>
        <w:tc>
          <w:tcPr>
            <w:tcW w:type="dxa" w:w="2880"/>
          </w:tcPr>
          <w:p>
            <w:r/>
            <w:r>
              <w:t>Validation</w:t>
            </w:r>
          </w:p>
        </w:tc>
        <w:tc>
          <w:tcPr>
            <w:tcW w:type="dxa" w:w="2880"/>
          </w:tcPr>
          <w:p>
            <w:r/>
            <w:r>
              <w:t>Zod</w:t>
            </w:r>
          </w:p>
        </w:tc>
        <w:tc>
          <w:tcPr>
            <w:tcW w:type="dxa" w:w="2880"/>
          </w:tcPr>
          <w:p>
            <w:r/>
            <w:r>
              <w:t>Shared schemas; parse at every boundary</w:t>
            </w:r>
          </w:p>
        </w:tc>
      </w:tr>
      <w:tr>
        <w:tc>
          <w:tcPr>
            <w:tcW w:type="dxa" w:w="2880"/>
          </w:tcPr>
          <w:p>
            <w:r/>
            <w:r>
              <w:t>UI</w:t>
            </w:r>
          </w:p>
        </w:tc>
        <w:tc>
          <w:tcPr>
            <w:tcW w:type="dxa" w:w="2880"/>
          </w:tcPr>
          <w:p>
            <w:r/>
            <w:r>
              <w:t>Tailwind, shadcn/ui, TanStack Table, react-hook-form</w:t>
            </w:r>
          </w:p>
        </w:tc>
        <w:tc>
          <w:tcPr>
            <w:tcW w:type="dxa" w:w="2880"/>
          </w:tcPr>
          <w:p>
            <w:r/>
            <w:r>
              <w:t>Standard, low-ceremony, good admin-table support</w:t>
            </w:r>
          </w:p>
        </w:tc>
      </w:tr>
      <w:tr>
        <w:tc>
          <w:tcPr>
            <w:tcW w:type="dxa" w:w="2880"/>
          </w:tcPr>
          <w:p>
            <w:r/>
            <w:r>
              <w:t>Background work</w:t>
            </w:r>
          </w:p>
        </w:tc>
        <w:tc>
          <w:tcPr>
            <w:tcW w:type="dxa" w:w="2880"/>
          </w:tcPr>
          <w:p>
            <w:r/>
            <w:r>
              <w:t>Workflow DevKit, Vercel Cron</w:t>
            </w:r>
          </w:p>
        </w:tc>
        <w:tc>
          <w:tcPr>
            <w:tcW w:type="dxa" w:w="2880"/>
          </w:tcPr>
          <w:p>
            <w:r/>
            <w:r>
              <w:t>No long-running process exists on our hosting</w:t>
            </w:r>
          </w:p>
        </w:tc>
      </w:tr>
      <w:tr>
        <w:tc>
          <w:tcPr>
            <w:tcW w:type="dxa" w:w="2880"/>
          </w:tcPr>
          <w:p>
            <w:r/>
            <w:r>
              <w:t>Cache / rate limit</w:t>
            </w:r>
          </w:p>
        </w:tc>
        <w:tc>
          <w:tcPr>
            <w:tcW w:type="dxa" w:w="2880"/>
          </w:tcPr>
          <w:p>
            <w:r/>
            <w:r>
              <w:t>Upstash Redis</w:t>
            </w:r>
          </w:p>
        </w:tc>
        <w:tc>
          <w:tcPr>
            <w:tcW w:type="dxa" w:w="2880"/>
          </w:tcPr>
          <w:p>
            <w:r/>
            <w:r>
              <w:t>Not used for job queues</w:t>
            </w:r>
          </w:p>
        </w:tc>
      </w:tr>
      <w:tr>
        <w:tc>
          <w:tcPr>
            <w:tcW w:type="dxa" w:w="2880"/>
          </w:tcPr>
          <w:p>
            <w:r/>
            <w:r>
              <w:t>File storage</w:t>
            </w:r>
          </w:p>
        </w:tc>
        <w:tc>
          <w:tcPr>
            <w:tcW w:type="dxa" w:w="2880"/>
          </w:tcPr>
          <w:p>
            <w:r/>
            <w:r>
              <w:t>Vercel Blob</w:t>
            </w:r>
          </w:p>
        </w:tc>
        <w:tc>
          <w:tcPr>
            <w:tcW w:type="dxa" w:w="2880"/>
          </w:tcPr>
          <w:p>
            <w:r/>
            <w:r>
              <w:t>Question media</w:t>
            </w:r>
          </w:p>
        </w:tc>
      </w:tr>
      <w:tr>
        <w:tc>
          <w:tcPr>
            <w:tcW w:type="dxa" w:w="2880"/>
          </w:tcPr>
          <w:p>
            <w:r/>
            <w:r>
              <w:t>Hosting</w:t>
            </w:r>
          </w:p>
        </w:tc>
        <w:tc>
          <w:tcPr>
            <w:tcW w:type="dxa" w:w="2880"/>
          </w:tcPr>
          <w:p>
            <w:r/>
            <w:r>
              <w:t>Vercel Pro, Fluid Compute, Node.js 24</w:t>
            </w:r>
          </w:p>
        </w:tc>
        <w:tc>
          <w:tcPr>
            <w:tcW w:type="dxa" w:w="2880"/>
          </w:tcPr>
          <w:p>
            <w:r/>
            <w:r>
              <w:t>No dedicated infrastructure; traffic does not warrant it yet</w:t>
            </w:r>
          </w:p>
        </w:tc>
      </w:tr>
    </w:tbl>
    <w:p/>
    <w:p>
      <w:r>
        <w:rPr>
          <w:b/>
        </w:rPr>
        <w:t>Node.js</w:t>
      </w:r>
      <w:r>
        <w:t xml:space="preserve"> was chosen because the team already has the expertise. </w:t>
      </w:r>
      <w:r>
        <w:rPr>
          <w:b/>
        </w:rPr>
        <w:t>Postgres</w:t>
      </w:r>
      <w:r>
        <w:t xml:space="preserve"> because the domain is deeply relational and correctness-critical: certifications, exam versions, questions, attempts, responses, and credentials all constrain one another, and the database should refuse to store an impossible state.</w:t>
      </w:r>
    </w:p>
    <w:p>
      <w:r>
        <w:t xml:space="preserve">Question type payloads vary widely, so type-specific structure is stored in </w:t>
      </w:r>
      <w:r>
        <w:rPr>
          <w:rFonts w:ascii="Consolas" w:hAnsi="Consolas"/>
          <w:sz w:val="19"/>
        </w:rPr>
        <w:t>JSONB</w:t>
      </w:r>
      <w:r>
        <w:t xml:space="preserve"> with a discriminator column and validated by Zod — schema flexibility without giving up relational guarantees.</w:t>
      </w:r>
    </w:p>
    <w:p>
      <w:pPr>
        <w:pStyle w:val="Heading1"/>
      </w:pPr>
      <w:r>
        <w:t>6. Architecture rules</w:t>
      </w:r>
    </w:p>
    <w:p>
      <w:r>
        <w:t>These are binding. Deviating from them is a review-blocking issue.</w:t>
      </w:r>
    </w:p>
    <w:p>
      <w:r>
        <w:rPr>
          <w:b/>
        </w:rPr>
        <w:t>Dependencies point one way: `app/ → core/ → db/`.</w:t>
      </w:r>
      <w:r>
        <w:t xml:space="preserve"> </w:t>
      </w:r>
      <w:r>
        <w:rPr>
          <w:rFonts w:ascii="Consolas" w:hAnsi="Consolas"/>
          <w:sz w:val="19"/>
        </w:rPr>
        <w:t>core/</w:t>
      </w:r>
      <w:r>
        <w:t xml:space="preserve"> contains all business logic and may not import React, </w:t>
      </w:r>
      <w:r>
        <w:rPr>
          <w:rFonts w:ascii="Consolas" w:hAnsi="Consolas"/>
          <w:sz w:val="19"/>
        </w:rPr>
        <w:t>next/*</w:t>
      </w:r>
      <w:r>
        <w:t xml:space="preserve">, or anything from </w:t>
      </w:r>
      <w:r>
        <w:rPr>
          <w:rFonts w:ascii="Consolas" w:hAnsi="Consolas"/>
          <w:sz w:val="19"/>
        </w:rPr>
        <w:t>app/</w:t>
      </w:r>
      <w:r>
        <w:t xml:space="preserve">. This keeps the grading engine unit-testable without HTTP, and leaves open the option of lifting </w:t>
      </w:r>
      <w:r>
        <w:rPr>
          <w:rFonts w:ascii="Consolas" w:hAnsi="Consolas"/>
          <w:sz w:val="19"/>
        </w:rPr>
        <w:t>core/</w:t>
      </w:r>
      <w:r>
        <w:t xml:space="preserve"> into a standalone service later.</w:t>
      </w:r>
    </w:p>
    <w:p>
      <w:r>
        <w:rPr>
          <w:b/>
        </w:rPr>
        <w:t>Answer keys never reach the client.</w:t>
      </w:r>
      <w:r>
        <w:t xml:space="preserve"> Not in a prop, a payload, a serialised server component, or a source map. Candidate-facing and grading-facing read models are separate types, so the mistake is a compile error rather than a leak. A leaked key invalidates every credential issued from that question.</w:t>
      </w:r>
    </w:p>
    <w:p>
      <w:r>
        <w:rPr>
          <w:b/>
        </w:rPr>
        <w:t>Published exam versions are immutable.</w:t>
      </w:r>
      <w:r>
        <w:t xml:space="preserve"> Edits create a new version. A candidate disputing a result years later must see the exam exactly as it was served.</w:t>
      </w:r>
    </w:p>
    <w:p>
      <w:r>
        <w:rPr>
          <w:b/>
        </w:rPr>
        <w:t>The exam timer is server-authoritative.</w:t>
      </w:r>
      <w:r>
        <w:t xml:space="preserve"> Deadlines live in Postgres; the client countdown is display only.</w:t>
      </w:r>
    </w:p>
    <w:p>
      <w:r>
        <w:rPr>
          <w:b/>
        </w:rPr>
        <w:t>No long-running processes, no module-level state.</w:t>
      </w:r>
      <w:r>
        <w:t xml:space="preserve"> Our hosting is serverless. Anything outliving a request is a durable workflow or a cron route. Everything that mutates is idempotent.</w:t>
      </w:r>
    </w:p>
    <w:p>
      <w:r>
        <w:rPr>
          <w:b/>
        </w:rPr>
        <w:t>All timestamps are `timestamptz` in UTC</w:t>
      </w:r>
      <w:r>
        <w:t>, converted only for display, always with the timezone labelled. Slot times are the product; a timezone bug means someone misses their exam.</w:t>
      </w:r>
    </w:p>
    <w:p>
      <w:r>
        <w:t xml:space="preserve">Full detail: </w:t>
      </w:r>
      <w:hyperlink r:id="rId9">
        <w:r>
          <w:rPr>
            <w:color w:val="0563C1"/>
            <w:u w:val="single"/>
            <w:rFonts w:ascii="Consolas" w:hAnsi="Consolas"/>
          </w:rPr>
          <w:t>docs/conventions.md</w:t>
        </w:r>
      </w:hyperlink>
      <w:r>
        <w:t>.</w:t>
      </w:r>
    </w:p>
    <w:p>
      <w:pPr>
        <w:pStyle w:val="Heading1"/>
      </w:pPr>
      <w:r>
        <w:t>7. Delivery approach</w:t>
      </w:r>
    </w:p>
    <w:p>
      <w:r>
        <w:t xml:space="preserve">The main site team will not integrate with this application until it is built. We therefore build the complete product against a </w:t>
      </w:r>
      <w:r>
        <w:rPr>
          <w:b/>
        </w:rPr>
        <w:t>development authentication stub</w:t>
      </w:r>
      <w:r>
        <w:t xml:space="preserve"> that mimics the real handoff, and integrate at the end.</w:t>
      </w:r>
    </w:p>
    <w:p>
      <w:r>
        <w:t>The risk is that authentication cannot be exercised until late. It is managed by:</w:t>
      </w:r>
    </w:p>
    <w:p>
      <w:pPr>
        <w:pStyle w:val="ListBullet"/>
      </w:pPr>
      <w:r>
        <w:t xml:space="preserve">Keeping </w:t>
      </w:r>
      <w:r>
        <w:rPr>
          <w:b/>
        </w:rPr>
        <w:t>all</w:t>
      </w:r>
      <w:r>
        <w:t xml:space="preserve"> identity handling behind one adapter, </w:t>
      </w:r>
      <w:r>
        <w:rPr>
          <w:rFonts w:ascii="Consolas" w:hAnsi="Consolas"/>
          <w:sz w:val="19"/>
        </w:rPr>
        <w:t>src/lib/auth.ts</w:t>
      </w:r>
      <w:r>
        <w:t>, so the swap is a</w:t>
      </w:r>
    </w:p>
    <w:p>
      <w:r>
        <w:t>one-file change rather than a refactor</w:t>
      </w:r>
    </w:p>
    <w:p>
      <w:pPr>
        <w:pStyle w:val="ListBullet"/>
      </w:pPr>
      <w:r>
        <w:t xml:space="preserve">Treating </w:t>
      </w:r>
      <w:r>
        <w:rPr>
          <w:rFonts w:ascii="Consolas" w:hAnsi="Consolas"/>
          <w:sz w:val="19"/>
        </w:rPr>
        <w:t>users.external_id</w:t>
      </w:r>
      <w:r>
        <w:t xml:space="preserve"> as an </w:t>
      </w:r>
      <w:r>
        <w:rPr>
          <w:b/>
        </w:rPr>
        <w:t>opaque string</w:t>
      </w:r>
      <w:r>
        <w:t xml:space="preserve"> — never parsed, never assumed numeric</w:t>
      </w:r>
    </w:p>
    <w:p>
      <w:pPr>
        <w:pStyle w:val="ListBullet"/>
      </w:pPr>
      <w:r>
        <w:t xml:space="preserve">Carrying a nullable </w:t>
      </w:r>
      <w:r>
        <w:rPr>
          <w:rFonts w:ascii="Consolas" w:hAnsi="Consolas"/>
          <w:sz w:val="19"/>
        </w:rPr>
        <w:t>certifications.external_ref</w:t>
      </w:r>
      <w:r>
        <w:t xml:space="preserve"> from the first migration, to absorb whatever</w:t>
      </w:r>
    </w:p>
    <w:p>
      <w:r>
        <w:t>identifier the main site eventually sends</w:t>
      </w:r>
    </w:p>
    <w:p>
      <w:pPr>
        <w:pStyle w:val="ListBullet"/>
      </w:pPr>
      <w:r>
        <w:t xml:space="preserve">Obtaining the integration </w:t>
      </w:r>
      <w:r>
        <w:rPr>
          <w:b/>
        </w:rPr>
        <w:t>specification</w:t>
      </w:r>
      <w:r>
        <w:t xml:space="preserve"> early — from internal records or from Eklavya. That</w:t>
      </w:r>
    </w:p>
    <w:p>
      <w:r>
        <w:t>is documentation, not a change request, and costs the other team nothing.</w:t>
      </w:r>
    </w:p>
    <w:p>
      <w:r>
        <w:rPr>
          <w:b/>
        </w:rPr>
        <w:t>Cutover should be per-certification, not big-bang.</w:t>
      </w:r>
      <w:r>
        <w:t xml:space="preserve"> Pointing a single certification at the new platform is the smallest possible change for the main site team, limits blast radius to one exam, and proves the system with real candidates before the rest follows.</w:t>
      </w:r>
    </w:p>
    <w:p>
      <w:pPr>
        <w:pStyle w:val="Heading1"/>
      </w:pPr>
      <w:r>
        <w:t>8. Open decisions</w:t>
      </w:r>
    </w:p>
    <w:p>
      <w:r>
        <w:t>Unresolved. Each blocks specific work; owner is the project lead unless stated.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Decision</w:t>
            </w:r>
          </w:p>
        </w:tc>
        <w:tc>
          <w:tcPr>
            <w:tcW w:type="dxa" w:w="2160"/>
          </w:tcPr>
          <w:p>
            <w:r>
              <w:rPr>
                <w:b/>
              </w:rPr>
            </w:r>
            <w:r>
              <w:rPr>
                <w:b/>
              </w:rPr>
              <w:t>Blocks</w:t>
            </w:r>
          </w:p>
        </w:tc>
        <w:tc>
          <w:tcPr>
            <w:tcW w:type="dxa" w:w="2160"/>
          </w:tcPr>
          <w:p>
            <w:r>
              <w:rPr>
                <w:b/>
              </w:rPr>
            </w:r>
            <w:r>
              <w:rPr>
                <w:b/>
              </w:rPr>
              <w:t>Priority</w:t>
            </w:r>
          </w:p>
        </w:tc>
      </w:tr>
      <w:tr>
        <w:tc>
          <w:tcPr>
            <w:tcW w:type="dxa" w:w="2160"/>
          </w:tcPr>
          <w:p>
            <w:r/>
            <w:r>
              <w:t>1</w:t>
            </w:r>
          </w:p>
        </w:tc>
        <w:tc>
          <w:tcPr>
            <w:tcW w:type="dxa" w:w="2160"/>
          </w:tcPr>
          <w:p>
            <w:r/>
            <w:r>
              <w:rPr>
                <w:b/>
              </w:rPr>
              <w:t>Late start</w:t>
            </w:r>
            <w:r>
              <w:t xml:space="preserve"> — a candidate joining 20 minutes into a 90-minute slot: full duration, or until the slot ends?</w:t>
            </w:r>
          </w:p>
        </w:tc>
        <w:tc>
          <w:tcPr>
            <w:tcW w:type="dxa" w:w="2160"/>
          </w:tcPr>
          <w:p>
            <w:r/>
            <w:r>
              <w:t>Attempts schema, exam player</w:t>
            </w:r>
          </w:p>
        </w:tc>
        <w:tc>
          <w:tcPr>
            <w:tcW w:type="dxa" w:w="2160"/>
          </w:tcPr>
          <w:p>
            <w:r/>
            <w:r>
              <w:t>High — baked into the schema</w:t>
            </w:r>
          </w:p>
        </w:tc>
      </w:tr>
      <w:tr>
        <w:tc>
          <w:tcPr>
            <w:tcW w:type="dxa" w:w="2160"/>
          </w:tcPr>
          <w:p>
            <w:r/>
            <w:r>
              <w:t>2</w:t>
            </w:r>
          </w:p>
        </w:tc>
        <w:tc>
          <w:tcPr>
            <w:tcW w:type="dxa" w:w="2160"/>
          </w:tcPr>
          <w:p>
            <w:r/>
            <w:r>
              <w:rPr>
                <w:b/>
              </w:rPr>
              <w:t>Code-execution question types</w:t>
            </w:r>
            <w:r>
              <w:t xml:space="preserve"> — do candidates write and run code?</w:t>
            </w:r>
          </w:p>
        </w:tc>
        <w:tc>
          <w:tcPr>
            <w:tcW w:type="dxa" w:w="2160"/>
          </w:tcPr>
          <w:p>
            <w:r/>
            <w:r>
              <w:t>Question model, grading, sandbox</w:t>
            </w:r>
          </w:p>
        </w:tc>
        <w:tc>
          <w:tcPr>
            <w:tcW w:type="dxa" w:w="2160"/>
          </w:tcPr>
          <w:p>
            <w:r/>
            <w:r>
              <w:t>High — changes the data model</w:t>
            </w:r>
          </w:p>
        </w:tc>
      </w:tr>
      <w:tr>
        <w:tc>
          <w:tcPr>
            <w:tcW w:type="dxa" w:w="2160"/>
          </w:tcPr>
          <w:p>
            <w:r/>
            <w:r>
              <w:t>3</w:t>
            </w:r>
          </w:p>
        </w:tc>
        <w:tc>
          <w:tcPr>
            <w:tcW w:type="dxa" w:w="2160"/>
          </w:tcPr>
          <w:p>
            <w:r/>
            <w:r>
              <w:rPr>
                <w:b/>
              </w:rPr>
              <w:t>Payment</w:t>
            </w:r>
            <w:r>
              <w:t xml:space="preserve"> — is there a paid step? Booking is enrolment, so it would happen here, not on the main site</w:t>
            </w:r>
          </w:p>
        </w:tc>
        <w:tc>
          <w:tcPr>
            <w:tcW w:type="dxa" w:w="2160"/>
          </w:tcPr>
          <w:p>
            <w:r/>
            <w:r>
              <w:t>Booking flow</w:t>
            </w:r>
          </w:p>
        </w:tc>
        <w:tc>
          <w:tcPr>
            <w:tcW w:type="dxa" w:w="2160"/>
          </w:tcPr>
          <w:p>
            <w:r/>
            <w:r>
              <w:t>High</w:t>
            </w:r>
          </w:p>
        </w:tc>
      </w:tr>
      <w:tr>
        <w:tc>
          <w:tcPr>
            <w:tcW w:type="dxa" w:w="2160"/>
          </w:tcPr>
          <w:p>
            <w:r/>
            <w:r>
              <w:t>4</w:t>
            </w:r>
          </w:p>
        </w:tc>
        <w:tc>
          <w:tcPr>
            <w:tcW w:type="dxa" w:w="2160"/>
          </w:tcPr>
          <w:p>
            <w:r/>
            <w:r>
              <w:rPr>
                <w:b/>
              </w:rPr>
              <w:t>Proctoring</w:t>
            </w:r>
            <w:r>
              <w:t xml:space="preserve"> — identity verification, webcam, lockdown browser?</w:t>
            </w:r>
          </w:p>
        </w:tc>
        <w:tc>
          <w:tcPr>
            <w:tcW w:type="dxa" w:w="2160"/>
          </w:tcPr>
          <w:p>
            <w:r/>
            <w:r>
              <w:t>Exam player, vendor selection</w:t>
            </w:r>
          </w:p>
        </w:tc>
        <w:tc>
          <w:tcPr>
            <w:tcW w:type="dxa" w:w="2160"/>
          </w:tcPr>
          <w:p>
            <w:r/>
            <w:r>
              <w:t>Medium</w:t>
            </w:r>
          </w:p>
        </w:tc>
      </w:tr>
      <w:tr>
        <w:tc>
          <w:tcPr>
            <w:tcW w:type="dxa" w:w="2160"/>
          </w:tcPr>
          <w:p>
            <w:r/>
            <w:r>
              <w:t>5</w:t>
            </w:r>
          </w:p>
        </w:tc>
        <w:tc>
          <w:tcPr>
            <w:tcW w:type="dxa" w:w="2160"/>
          </w:tcPr>
          <w:p>
            <w:r/>
            <w:r>
              <w:rPr>
                <w:b/>
              </w:rPr>
              <w:t>Retake policy</w:t>
            </w:r>
            <w:r>
              <w:t xml:space="preserve"> — cooldown after a failure, maximum attempts</w:t>
            </w:r>
          </w:p>
        </w:tc>
        <w:tc>
          <w:tcPr>
            <w:tcW w:type="dxa" w:w="2160"/>
          </w:tcPr>
          <w:p>
            <w:r/>
            <w:r>
              <w:t>Eligibility rules</w:t>
            </w:r>
          </w:p>
        </w:tc>
        <w:tc>
          <w:tcPr>
            <w:tcW w:type="dxa" w:w="2160"/>
          </w:tcPr>
          <w:p>
            <w:r/>
            <w:r>
              <w:t>Medium</w:t>
            </w:r>
          </w:p>
        </w:tc>
      </w:tr>
      <w:tr>
        <w:tc>
          <w:tcPr>
            <w:tcW w:type="dxa" w:w="2160"/>
          </w:tcPr>
          <w:p>
            <w:r/>
            <w:r>
              <w:t>6</w:t>
            </w:r>
          </w:p>
        </w:tc>
        <w:tc>
          <w:tcPr>
            <w:tcW w:type="dxa" w:w="2160"/>
          </w:tcPr>
          <w:p>
            <w:r/>
            <w:r>
              <w:rPr>
                <w:b/>
              </w:rPr>
              <w:t>No-shows</w:t>
            </w:r>
            <w:r>
              <w:t xml:space="preserve"> — booked but never started; does it burn an attempt?</w:t>
            </w:r>
          </w:p>
        </w:tc>
        <w:tc>
          <w:tcPr>
            <w:tcW w:type="dxa" w:w="2160"/>
          </w:tcPr>
          <w:p>
            <w:r/>
            <w:r>
              <w:t>Booking, attempts</w:t>
            </w:r>
          </w:p>
        </w:tc>
        <w:tc>
          <w:tcPr>
            <w:tcW w:type="dxa" w:w="2160"/>
          </w:tcPr>
          <w:p>
            <w:r/>
            <w:r>
              <w:t>Medium</w:t>
            </w:r>
          </w:p>
        </w:tc>
      </w:tr>
      <w:tr>
        <w:tc>
          <w:tcPr>
            <w:tcW w:type="dxa" w:w="2160"/>
          </w:tcPr>
          <w:p>
            <w:r/>
            <w:r>
              <w:t>7</w:t>
            </w:r>
          </w:p>
        </w:tc>
        <w:tc>
          <w:tcPr>
            <w:tcW w:type="dxa" w:w="2160"/>
          </w:tcPr>
          <w:p>
            <w:r/>
            <w:r>
              <w:rPr>
                <w:b/>
              </w:rPr>
              <w:t>Cancel / reschedule window</w:t>
            </w:r>
          </w:p>
        </w:tc>
        <w:tc>
          <w:tcPr>
            <w:tcW w:type="dxa" w:w="2160"/>
          </w:tcPr>
          <w:p>
            <w:r/>
            <w:r>
              <w:t>Booking</w:t>
            </w:r>
          </w:p>
        </w:tc>
        <w:tc>
          <w:tcPr>
            <w:tcW w:type="dxa" w:w="2160"/>
          </w:tcPr>
          <w:p>
            <w:r/>
            <w:r>
              <w:t>Medium</w:t>
            </w:r>
          </w:p>
        </w:tc>
      </w:tr>
      <w:tr>
        <w:tc>
          <w:tcPr>
            <w:tcW w:type="dxa" w:w="2160"/>
          </w:tcPr>
          <w:p>
            <w:r/>
            <w:r>
              <w:t>8</w:t>
            </w:r>
          </w:p>
        </w:tc>
        <w:tc>
          <w:tcPr>
            <w:tcW w:type="dxa" w:w="2160"/>
          </w:tcPr>
          <w:p>
            <w:r/>
            <w:r>
              <w:rPr>
                <w:b/>
              </w:rPr>
              <w:t>Waitlist</w:t>
            </w:r>
            <w:r>
              <w:t xml:space="preserve"> for full slots, or unavailable?</w:t>
            </w:r>
          </w:p>
        </w:tc>
        <w:tc>
          <w:tcPr>
            <w:tcW w:type="dxa" w:w="2160"/>
          </w:tcPr>
          <w:p>
            <w:r/>
            <w:r>
              <w:t>Booking, slot calendar</w:t>
            </w:r>
          </w:p>
        </w:tc>
        <w:tc>
          <w:tcPr>
            <w:tcW w:type="dxa" w:w="2160"/>
          </w:tcPr>
          <w:p>
            <w:r/>
            <w:r>
              <w:t>Low</w:t>
            </w:r>
          </w:p>
        </w:tc>
      </w:tr>
      <w:tr>
        <w:tc>
          <w:tcPr>
            <w:tcW w:type="dxa" w:w="2160"/>
          </w:tcPr>
          <w:p>
            <w:r/>
            <w:r>
              <w:t>9</w:t>
            </w:r>
          </w:p>
        </w:tc>
        <w:tc>
          <w:tcPr>
            <w:tcW w:type="dxa" w:w="2160"/>
          </w:tcPr>
          <w:p>
            <w:r/>
            <w:r>
              <w:rPr>
                <w:b/>
              </w:rPr>
              <w:t>Enterprise SSO</w:t>
            </w:r>
            <w:r>
              <w:t xml:space="preserve"> (SAML/SCIM) for bulk seat sales</w:t>
            </w:r>
          </w:p>
        </w:tc>
        <w:tc>
          <w:tcPr>
            <w:tcW w:type="dxa" w:w="2160"/>
          </w:tcPr>
          <w:p>
            <w:r/>
            <w:r>
              <w:t>Auth — expensive to retrofit</w:t>
            </w:r>
          </w:p>
        </w:tc>
        <w:tc>
          <w:tcPr>
            <w:tcW w:type="dxa" w:w="2160"/>
          </w:tcPr>
          <w:p>
            <w:r/>
            <w:r>
              <w:t>Low now, high if sold</w:t>
            </w:r>
          </w:p>
        </w:tc>
      </w:tr>
    </w:tbl>
    <w:p/>
    <w:p>
      <w:pPr>
        <w:pStyle w:val="Heading1"/>
      </w:pPr>
      <w:r>
        <w:t>9. Module index</w:t>
      </w:r>
    </w:p>
    <w:p>
      <w:r>
        <w:t>Each module's detailed specification lives with its code. Developers own their module's spec and keep this row current.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r>
            <w:r>
              <w:rPr>
                <w:b/>
              </w:rPr>
              <w:t>Module</w:t>
            </w:r>
          </w:p>
        </w:tc>
        <w:tc>
          <w:tcPr>
            <w:tcW w:type="dxa" w:w="1728"/>
          </w:tcPr>
          <w:p>
            <w:r>
              <w:rPr>
                <w:b/>
              </w:rPr>
            </w:r>
            <w:r>
              <w:rPr>
                <w:b/>
              </w:rPr>
              <w:t>Purpose</w:t>
            </w:r>
          </w:p>
        </w:tc>
        <w:tc>
          <w:tcPr>
            <w:tcW w:type="dxa" w:w="1728"/>
          </w:tcPr>
          <w:p>
            <w:r>
              <w:rPr>
                <w:b/>
              </w:rPr>
            </w:r>
            <w:r>
              <w:rPr>
                <w:b/>
              </w:rPr>
              <w:t>Spec</w:t>
            </w:r>
          </w:p>
        </w:tc>
        <w:tc>
          <w:tcPr>
            <w:tcW w:type="dxa" w:w="1728"/>
          </w:tcPr>
          <w:p>
            <w:r>
              <w:rPr>
                <w:b/>
              </w:rPr>
            </w:r>
            <w:r>
              <w:rPr>
                <w:b/>
              </w:rPr>
              <w:t>Owner</w:t>
            </w:r>
          </w:p>
        </w:tc>
        <w:tc>
          <w:tcPr>
            <w:tcW w:type="dxa" w:w="1728"/>
          </w:tcPr>
          <w:p>
            <w:r>
              <w:rPr>
                <w:b/>
              </w:rPr>
            </w:r>
            <w:r>
              <w:rPr>
                <w:b/>
              </w:rPr>
              <w:t>Status</w:t>
            </w:r>
          </w:p>
        </w:tc>
      </w:tr>
      <w:tr>
        <w:tc>
          <w:tcPr>
            <w:tcW w:type="dxa" w:w="1728"/>
          </w:tcPr>
          <w:p>
            <w:r/>
            <w:r>
              <w:t>Route structure</w:t>
            </w:r>
          </w:p>
        </w:tc>
        <w:tc>
          <w:tcPr>
            <w:tcW w:type="dxa" w:w="1728"/>
          </w:tcPr>
          <w:p>
            <w:r/>
            <w:r>
              <w:t>Page inventory, auth guards, layouts</w:t>
            </w:r>
          </w:p>
        </w:tc>
        <w:tc>
          <w:tcPr>
            <w:tcW w:type="dxa" w:w="1728"/>
          </w:tcPr>
          <w:p>
            <w:r/>
            <w:hyperlink r:id="rId10">
              <w:r>
                <w:rPr>
                  <w:color w:val="0563C1"/>
                  <w:u w:val="single"/>
                  <w:rFonts w:ascii="Consolas" w:hAnsi="Consolas"/>
                </w:rPr>
                <w:t>docs/routes.md</w:t>
              </w:r>
            </w:hyperlink>
          </w:p>
        </w:tc>
        <w:tc>
          <w:tcPr>
            <w:tcW w:type="dxa" w:w="1728"/>
          </w:tcPr>
          <w:p>
            <w:r/>
            <w:r>
              <w:t>Lead</w:t>
            </w:r>
          </w:p>
        </w:tc>
        <w:tc>
          <w:tcPr>
            <w:tcW w:type="dxa" w:w="1728"/>
          </w:tcPr>
          <w:p>
            <w:r/>
            <w:r>
              <w:t>Drafted</w:t>
            </w:r>
          </w:p>
        </w:tc>
      </w:tr>
      <w:tr>
        <w:tc>
          <w:tcPr>
            <w:tcW w:type="dxa" w:w="1728"/>
          </w:tcPr>
          <w:p>
            <w:r/>
            <w:r>
              <w:t>Authentication</w:t>
            </w:r>
          </w:p>
        </w:tc>
        <w:tc>
          <w:tcPr>
            <w:tcW w:type="dxa" w:w="1728"/>
          </w:tcPr>
          <w:p>
            <w:r/>
            <w:r>
              <w:t>Handoff from the company login; session; adapter</w:t>
            </w:r>
          </w:p>
        </w:tc>
        <w:tc>
          <w:tcPr>
            <w:tcW w:type="dxa" w:w="1728"/>
          </w:tcPr>
          <w:p>
            <w:r/>
            <w:hyperlink r:id="rId11">
              <w:r>
                <w:rPr>
                  <w:color w:val="0563C1"/>
                  <w:u w:val="single"/>
                  <w:rFonts w:ascii="Consolas" w:hAnsi="Consolas"/>
                </w:rPr>
                <w:t>docs/auth.md</w:t>
              </w:r>
            </w:hyperlink>
          </w:p>
        </w:tc>
        <w:tc>
          <w:tcPr>
            <w:tcW w:type="dxa" w:w="1728"/>
          </w:tcPr>
          <w:p>
            <w:r/>
            <w:r>
              <w:t>_TBD_</w:t>
            </w:r>
          </w:p>
        </w:tc>
        <w:tc>
          <w:tcPr>
            <w:tcW w:type="dxa" w:w="1728"/>
          </w:tcPr>
          <w:p>
            <w:r/>
            <w:r>
              <w:t>Drafted</w:t>
            </w:r>
          </w:p>
        </w:tc>
      </w:tr>
      <w:tr>
        <w:tc>
          <w:tcPr>
            <w:tcW w:type="dxa" w:w="1728"/>
          </w:tcPr>
          <w:p>
            <w:r/>
            <w:r>
              <w:t>Conventions</w:t>
            </w:r>
          </w:p>
        </w:tc>
        <w:tc>
          <w:tcPr>
            <w:tcW w:type="dxa" w:w="1728"/>
          </w:tcPr>
          <w:p>
            <w:r/>
            <w:r>
              <w:t>Binding rules for the whole repo</w:t>
            </w:r>
          </w:p>
        </w:tc>
        <w:tc>
          <w:tcPr>
            <w:tcW w:type="dxa" w:w="1728"/>
          </w:tcPr>
          <w:p>
            <w:r/>
            <w:hyperlink r:id="rId9">
              <w:r>
                <w:rPr>
                  <w:color w:val="0563C1"/>
                  <w:u w:val="single"/>
                  <w:rFonts w:ascii="Consolas" w:hAnsi="Consolas"/>
                </w:rPr>
                <w:t>docs/conventions.md</w:t>
              </w:r>
            </w:hyperlink>
          </w:p>
        </w:tc>
        <w:tc>
          <w:tcPr>
            <w:tcW w:type="dxa" w:w="1728"/>
          </w:tcPr>
          <w:p>
            <w:r/>
            <w:r>
              <w:t>Lead</w:t>
            </w:r>
          </w:p>
        </w:tc>
        <w:tc>
          <w:tcPr>
            <w:tcW w:type="dxa" w:w="1728"/>
          </w:tcPr>
          <w:p>
            <w:r/>
            <w:r>
              <w:t>Drafted</w:t>
            </w:r>
          </w:p>
        </w:tc>
      </w:tr>
      <w:tr>
        <w:tc>
          <w:tcPr>
            <w:tcW w:type="dxa" w:w="1728"/>
          </w:tcPr>
          <w:p>
            <w:r/>
            <w:r>
              <w:t>Data model</w:t>
            </w:r>
          </w:p>
        </w:tc>
        <w:tc>
          <w:tcPr>
            <w:tcW w:type="dxa" w:w="1728"/>
          </w:tcPr>
          <w:p>
            <w:r/>
            <w:r>
              <w:t>Tables, constraints, migrations</w:t>
            </w:r>
          </w:p>
        </w:tc>
        <w:tc>
          <w:tcPr>
            <w:tcW w:type="dxa" w:w="1728"/>
          </w:tcPr>
          <w:p>
            <w:r/>
            <w:hyperlink r:id="rId12">
              <w:r>
                <w:rPr>
                  <w:color w:val="0563C1"/>
                  <w:u w:val="single"/>
                  <w:rFonts w:ascii="Consolas" w:hAnsi="Consolas"/>
                </w:rPr>
                <w:t>src/db/README.md</w:t>
              </w:r>
            </w:hyperlink>
          </w:p>
        </w:tc>
        <w:tc>
          <w:tcPr>
            <w:tcW w:type="dxa" w:w="1728"/>
          </w:tcPr>
          <w:p>
            <w:r/>
            <w:r>
              <w:t>_TBD_</w:t>
            </w:r>
          </w:p>
        </w:tc>
        <w:tc>
          <w:tcPr>
            <w:tcW w:type="dxa" w:w="1728"/>
          </w:tcPr>
          <w:p>
            <w:r/>
            <w:r>
              <w:t>Outline only</w:t>
            </w:r>
          </w:p>
        </w:tc>
      </w:tr>
      <w:tr>
        <w:tc>
          <w:tcPr>
            <w:tcW w:type="dxa" w:w="1728"/>
          </w:tcPr>
          <w:p>
            <w:r/>
            <w:r>
              <w:t>Certifications</w:t>
            </w:r>
          </w:p>
        </w:tc>
        <w:tc>
          <w:tcPr>
            <w:tcW w:type="dxa" w:w="1728"/>
          </w:tcPr>
          <w:p>
            <w:r/>
            <w:r>
              <w:t>Products and versioned exam blueprints</w:t>
            </w:r>
          </w:p>
        </w:tc>
        <w:tc>
          <w:tcPr>
            <w:tcW w:type="dxa" w:w="1728"/>
          </w:tcPr>
          <w:p>
            <w:r/>
            <w:hyperlink r:id="rId13">
              <w:r>
                <w:rPr>
                  <w:color w:val="0563C1"/>
                  <w:u w:val="single"/>
                  <w:rFonts w:ascii="Consolas" w:hAnsi="Consolas"/>
                </w:rPr>
                <w:t>src/core/certifications/README.md</w:t>
              </w:r>
            </w:hyperlink>
          </w:p>
        </w:tc>
        <w:tc>
          <w:tcPr>
            <w:tcW w:type="dxa" w:w="1728"/>
          </w:tcPr>
          <w:p>
            <w:r/>
            <w:r>
              <w:t>_TBD_</w:t>
            </w:r>
          </w:p>
        </w:tc>
        <w:tc>
          <w:tcPr>
            <w:tcW w:type="dxa" w:w="1728"/>
          </w:tcPr>
          <w:p>
            <w:r/>
            <w:r>
              <w:t>Drafted</w:t>
            </w:r>
          </w:p>
        </w:tc>
      </w:tr>
      <w:tr>
        <w:tc>
          <w:tcPr>
            <w:tcW w:type="dxa" w:w="1728"/>
          </w:tcPr>
          <w:p>
            <w:r/>
            <w:r>
              <w:t>Questions</w:t>
            </w:r>
          </w:p>
        </w:tc>
        <w:tc>
          <w:tcPr>
            <w:tcW w:type="dxa" w:w="1728"/>
          </w:tcPr>
          <w:p>
            <w:r/>
            <w:r>
              <w:t>Question bank, types, authoring rules</w:t>
            </w:r>
          </w:p>
        </w:tc>
        <w:tc>
          <w:tcPr>
            <w:tcW w:type="dxa" w:w="1728"/>
          </w:tcPr>
          <w:p>
            <w:r/>
            <w:hyperlink r:id="rId14">
              <w:r>
                <w:rPr>
                  <w:color w:val="0563C1"/>
                  <w:u w:val="single"/>
                  <w:rFonts w:ascii="Consolas" w:hAnsi="Consolas"/>
                </w:rPr>
                <w:t>src/core/questions/README.md</w:t>
              </w:r>
            </w:hyperlink>
          </w:p>
        </w:tc>
        <w:tc>
          <w:tcPr>
            <w:tcW w:type="dxa" w:w="1728"/>
          </w:tcPr>
          <w:p>
            <w:r/>
            <w:r>
              <w:t>_TBD_</w:t>
            </w:r>
          </w:p>
        </w:tc>
        <w:tc>
          <w:tcPr>
            <w:tcW w:type="dxa" w:w="1728"/>
          </w:tcPr>
          <w:p>
            <w:r/>
            <w:r>
              <w:t>Drafted</w:t>
            </w:r>
          </w:p>
        </w:tc>
      </w:tr>
      <w:tr>
        <w:tc>
          <w:tcPr>
            <w:tcW w:type="dxa" w:w="1728"/>
          </w:tcPr>
          <w:p>
            <w:r/>
            <w:r>
              <w:t>Attempts, slots, bookings</w:t>
            </w:r>
          </w:p>
        </w:tc>
        <w:tc>
          <w:tcPr>
            <w:tcW w:type="dxa" w:w="1728"/>
          </w:tcPr>
          <w:p>
            <w:r/>
            <w:r>
              <w:t>Booking, capacity, timers, response capture</w:t>
            </w:r>
          </w:p>
        </w:tc>
        <w:tc>
          <w:tcPr>
            <w:tcW w:type="dxa" w:w="1728"/>
          </w:tcPr>
          <w:p>
            <w:r/>
            <w:hyperlink r:id="rId15">
              <w:r>
                <w:rPr>
                  <w:color w:val="0563C1"/>
                  <w:u w:val="single"/>
                  <w:rFonts w:ascii="Consolas" w:hAnsi="Consolas"/>
                </w:rPr>
                <w:t>src/core/attempts/README.md</w:t>
              </w:r>
            </w:hyperlink>
          </w:p>
        </w:tc>
        <w:tc>
          <w:tcPr>
            <w:tcW w:type="dxa" w:w="1728"/>
          </w:tcPr>
          <w:p>
            <w:r/>
            <w:r>
              <w:t>_TBD_</w:t>
            </w:r>
          </w:p>
        </w:tc>
        <w:tc>
          <w:tcPr>
            <w:tcW w:type="dxa" w:w="1728"/>
          </w:tcPr>
          <w:p>
            <w:r/>
            <w:r>
              <w:t>Drafted</w:t>
            </w:r>
          </w:p>
        </w:tc>
      </w:tr>
      <w:tr>
        <w:tc>
          <w:tcPr>
            <w:tcW w:type="dxa" w:w="1728"/>
          </w:tcPr>
          <w:p>
            <w:r/>
            <w:r>
              <w:t>Grading</w:t>
            </w:r>
          </w:p>
        </w:tc>
        <w:tc>
          <w:tcPr>
            <w:tcW w:type="dxa" w:w="1728"/>
          </w:tcPr>
          <w:p>
            <w:r/>
            <w:r>
              <w:t>Scoring, pass/fail, release, regrade</w:t>
            </w:r>
          </w:p>
        </w:tc>
        <w:tc>
          <w:tcPr>
            <w:tcW w:type="dxa" w:w="1728"/>
          </w:tcPr>
          <w:p>
            <w:r/>
            <w:hyperlink r:id="rId16">
              <w:r>
                <w:rPr>
                  <w:color w:val="0563C1"/>
                  <w:u w:val="single"/>
                  <w:rFonts w:ascii="Consolas" w:hAnsi="Consolas"/>
                </w:rPr>
                <w:t>src/core/grading/README.md</w:t>
              </w:r>
            </w:hyperlink>
          </w:p>
        </w:tc>
        <w:tc>
          <w:tcPr>
            <w:tcW w:type="dxa" w:w="1728"/>
          </w:tcPr>
          <w:p>
            <w:r/>
            <w:r>
              <w:t>_TBD_</w:t>
            </w:r>
          </w:p>
        </w:tc>
        <w:tc>
          <w:tcPr>
            <w:tcW w:type="dxa" w:w="1728"/>
          </w:tcPr>
          <w:p>
            <w:r/>
            <w:r>
              <w:t>Drafted</w:t>
            </w:r>
          </w:p>
        </w:tc>
      </w:tr>
      <w:tr>
        <w:tc>
          <w:tcPr>
            <w:tcW w:type="dxa" w:w="1728"/>
          </w:tcPr>
          <w:p>
            <w:r/>
            <w:r>
              <w:t>Credentials</w:t>
            </w:r>
          </w:p>
        </w:tc>
        <w:tc>
          <w:tcPr>
            <w:tcW w:type="dxa" w:w="1728"/>
          </w:tcPr>
          <w:p>
            <w:r/>
            <w:r>
              <w:t>Issuance, verification, revocation</w:t>
            </w:r>
          </w:p>
        </w:tc>
        <w:tc>
          <w:tcPr>
            <w:tcW w:type="dxa" w:w="1728"/>
          </w:tcPr>
          <w:p>
            <w:r/>
            <w:hyperlink r:id="rId17">
              <w:r>
                <w:rPr>
                  <w:color w:val="0563C1"/>
                  <w:u w:val="single"/>
                  <w:rFonts w:ascii="Consolas" w:hAnsi="Consolas"/>
                </w:rPr>
                <w:t>src/core/credentials/README.md</w:t>
              </w:r>
            </w:hyperlink>
          </w:p>
        </w:tc>
        <w:tc>
          <w:tcPr>
            <w:tcW w:type="dxa" w:w="1728"/>
          </w:tcPr>
          <w:p>
            <w:r/>
            <w:r>
              <w:t>_TBD_</w:t>
            </w:r>
          </w:p>
        </w:tc>
        <w:tc>
          <w:tcPr>
            <w:tcW w:type="dxa" w:w="1728"/>
          </w:tcPr>
          <w:p>
            <w:r/>
            <w:r>
              <w:t>Drafted</w:t>
            </w:r>
          </w:p>
        </w:tc>
      </w:tr>
      <w:tr>
        <w:tc>
          <w:tcPr>
            <w:tcW w:type="dxa" w:w="1728"/>
          </w:tcPr>
          <w:p>
            <w:r/>
            <w:r>
              <w:t>Booking page</w:t>
            </w:r>
          </w:p>
        </w:tc>
        <w:tc>
          <w:tcPr>
            <w:tcW w:type="dxa" w:w="1728"/>
          </w:tcPr>
          <w:p>
            <w:r/>
            <w:r>
              <w:rPr>
                <w:rFonts w:ascii="Consolas" w:hAnsi="Consolas"/>
                <w:sz w:val="19"/>
              </w:rPr>
              <w:t>/book</w:t>
            </w:r>
            <w:r>
              <w:t xml:space="preserve"> — exam selector and slot calendar</w:t>
            </w:r>
          </w:p>
        </w:tc>
        <w:tc>
          <w:tcPr>
            <w:tcW w:type="dxa" w:w="1728"/>
          </w:tcPr>
          <w:p>
            <w:r/>
            <w:hyperlink r:id="rId18">
              <w:r>
                <w:rPr>
                  <w:color w:val="0563C1"/>
                  <w:u w:val="single"/>
                  <w:rFonts w:ascii="Consolas" w:hAnsi="Consolas"/>
                </w:rPr>
                <w:t>src/app/(candidate)/book/README.md</w:t>
              </w:r>
            </w:hyperlink>
            <w:r>
              <w:t>/book/README.md)</w:t>
            </w:r>
          </w:p>
        </w:tc>
        <w:tc>
          <w:tcPr>
            <w:tcW w:type="dxa" w:w="1728"/>
          </w:tcPr>
          <w:p>
            <w:r/>
            <w:r>
              <w:t>_TBD_</w:t>
            </w:r>
          </w:p>
        </w:tc>
        <w:tc>
          <w:tcPr>
            <w:tcW w:type="dxa" w:w="1728"/>
          </w:tcPr>
          <w:p>
            <w:r/>
            <w:r>
              <w:t>Drafted</w:t>
            </w:r>
          </w:p>
        </w:tc>
      </w:tr>
      <w:tr>
        <w:tc>
          <w:tcPr>
            <w:tcW w:type="dxa" w:w="1728"/>
          </w:tcPr>
          <w:p>
            <w:r/>
            <w:r>
              <w:t>Slot calendar</w:t>
            </w:r>
          </w:p>
        </w:tc>
        <w:tc>
          <w:tcPr>
            <w:tcW w:type="dxa" w:w="1728"/>
          </w:tcPr>
          <w:p>
            <w:r/>
            <w:r>
              <w:t>Date and time picker component</w:t>
            </w:r>
          </w:p>
        </w:tc>
        <w:tc>
          <w:tcPr>
            <w:tcW w:type="dxa" w:w="1728"/>
          </w:tcPr>
          <w:p>
            <w:r/>
            <w:hyperlink r:id="rId19">
              <w:r>
                <w:rPr>
                  <w:color w:val="0563C1"/>
                  <w:u w:val="single"/>
                  <w:rFonts w:ascii="Consolas" w:hAnsi="Consolas"/>
                </w:rPr>
                <w:t>src/components/booking/README.md</w:t>
              </w:r>
            </w:hyperlink>
          </w:p>
        </w:tc>
        <w:tc>
          <w:tcPr>
            <w:tcW w:type="dxa" w:w="1728"/>
          </w:tcPr>
          <w:p>
            <w:r/>
            <w:r>
              <w:t>_Assigned_</w:t>
            </w:r>
          </w:p>
        </w:tc>
        <w:tc>
          <w:tcPr>
            <w:tcW w:type="dxa" w:w="1728"/>
          </w:tcPr>
          <w:p>
            <w:r/>
            <w:r>
              <w:t>In progress</w:t>
            </w:r>
          </w:p>
        </w:tc>
      </w:tr>
      <w:tr>
        <w:tc>
          <w:tcPr>
            <w:tcW w:type="dxa" w:w="1728"/>
          </w:tcPr>
          <w:p>
            <w:r/>
            <w:r>
              <w:t>Exam player</w:t>
            </w:r>
          </w:p>
        </w:tc>
        <w:tc>
          <w:tcPr>
            <w:tcW w:type="dxa" w:w="1728"/>
          </w:tcPr>
          <w:p>
            <w:r/>
            <w:r>
              <w:t>Timed delivery, autosave, no chrome</w:t>
            </w:r>
          </w:p>
        </w:tc>
        <w:tc>
          <w:tcPr>
            <w:tcW w:type="dxa" w:w="1728"/>
          </w:tcPr>
          <w:p>
            <w:r/>
            <w:hyperlink r:id="rId20">
              <w:r>
                <w:rPr>
                  <w:color w:val="0563C1"/>
                  <w:u w:val="single"/>
                  <w:rFonts w:ascii="Consolas" w:hAnsi="Consolas"/>
                </w:rPr>
                <w:t>src/app/(exam)/README.md</w:t>
              </w:r>
            </w:hyperlink>
            <w:r>
              <w:t>/README.md)</w:t>
            </w:r>
          </w:p>
        </w:tc>
        <w:tc>
          <w:tcPr>
            <w:tcW w:type="dxa" w:w="1728"/>
          </w:tcPr>
          <w:p>
            <w:r/>
            <w:r>
              <w:t>_TBD_</w:t>
            </w:r>
          </w:p>
        </w:tc>
        <w:tc>
          <w:tcPr>
            <w:tcW w:type="dxa" w:w="1728"/>
          </w:tcPr>
          <w:p>
            <w:r/>
            <w:r>
              <w:t>Drafted</w:t>
            </w:r>
          </w:p>
        </w:tc>
      </w:tr>
      <w:tr>
        <w:tc>
          <w:tcPr>
            <w:tcW w:type="dxa" w:w="1728"/>
          </w:tcPr>
          <w:p>
            <w:r/>
            <w:r>
              <w:t>Admin</w:t>
            </w:r>
          </w:p>
        </w:tc>
        <w:tc>
          <w:tcPr>
            <w:tcW w:type="dxa" w:w="1728"/>
          </w:tcPr>
          <w:p>
            <w:r/>
            <w:r>
              <w:t>Authoring, slots, grading queue, credentials</w:t>
            </w:r>
          </w:p>
        </w:tc>
        <w:tc>
          <w:tcPr>
            <w:tcW w:type="dxa" w:w="1728"/>
          </w:tcPr>
          <w:p>
            <w:r/>
            <w:hyperlink r:id="rId21">
              <w:r>
                <w:rPr>
                  <w:color w:val="0563C1"/>
                  <w:u w:val="single"/>
                  <w:rFonts w:ascii="Consolas" w:hAnsi="Consolas"/>
                </w:rPr>
                <w:t>src/app/admin/README.md</w:t>
              </w:r>
            </w:hyperlink>
          </w:p>
        </w:tc>
        <w:tc>
          <w:tcPr>
            <w:tcW w:type="dxa" w:w="1728"/>
          </w:tcPr>
          <w:p>
            <w:r/>
            <w:r>
              <w:t>_TBD_</w:t>
            </w:r>
          </w:p>
        </w:tc>
        <w:tc>
          <w:tcPr>
            <w:tcW w:type="dxa" w:w="1728"/>
          </w:tcPr>
          <w:p>
            <w:r/>
            <w:r>
              <w:t>Drafted</w:t>
            </w:r>
          </w:p>
        </w:tc>
      </w:tr>
      <w:tr>
        <w:tc>
          <w:tcPr>
            <w:tcW w:type="dxa" w:w="1728"/>
          </w:tcPr>
          <w:p>
            <w:r/>
            <w:r>
              <w:t>Credential verification</w:t>
            </w:r>
          </w:p>
        </w:tc>
        <w:tc>
          <w:tcPr>
            <w:tcW w:type="dxa" w:w="1728"/>
          </w:tcPr>
          <w:p>
            <w:r/>
            <w:r>
              <w:t xml:space="preserve">Public </w:t>
            </w:r>
            <w:r>
              <w:rPr>
                <w:rFonts w:ascii="Consolas" w:hAnsi="Consolas"/>
                <w:sz w:val="19"/>
              </w:rPr>
              <w:t>/verify/[id]</w:t>
            </w:r>
            <w:r>
              <w:t xml:space="preserve"> page</w:t>
            </w:r>
          </w:p>
        </w:tc>
        <w:tc>
          <w:tcPr>
            <w:tcW w:type="dxa" w:w="1728"/>
          </w:tcPr>
          <w:p>
            <w:r/>
            <w:hyperlink r:id="rId22">
              <w:r>
                <w:rPr>
                  <w:color w:val="0563C1"/>
                  <w:u w:val="single"/>
                  <w:rFonts w:ascii="Consolas" w:hAnsi="Consolas"/>
                </w:rPr>
                <w:t>src/app/verify/README.md</w:t>
              </w:r>
            </w:hyperlink>
          </w:p>
        </w:tc>
        <w:tc>
          <w:tcPr>
            <w:tcW w:type="dxa" w:w="1728"/>
          </w:tcPr>
          <w:p>
            <w:r/>
            <w:r>
              <w:t>_TBD_</w:t>
            </w:r>
          </w:p>
        </w:tc>
        <w:tc>
          <w:tcPr>
            <w:tcW w:type="dxa" w:w="1728"/>
          </w:tcPr>
          <w:p>
            <w:r/>
            <w:r>
              <w:t>Drafted</w:t>
            </w:r>
          </w:p>
        </w:tc>
      </w:tr>
      <w:tr>
        <w:tc>
          <w:tcPr>
            <w:tcW w:type="dxa" w:w="1728"/>
          </w:tcPr>
          <w:p>
            <w:r/>
            <w:r>
              <w:t>API surface</w:t>
            </w:r>
          </w:p>
        </w:tc>
        <w:tc>
          <w:tcPr>
            <w:tcW w:type="dxa" w:w="1728"/>
          </w:tcPr>
          <w:p>
            <w:r/>
            <w:r>
              <w:t>Route handlers, cron authentication</w:t>
            </w:r>
          </w:p>
        </w:tc>
        <w:tc>
          <w:tcPr>
            <w:tcW w:type="dxa" w:w="1728"/>
          </w:tcPr>
          <w:p>
            <w:r/>
            <w:hyperlink r:id="rId23">
              <w:r>
                <w:rPr>
                  <w:color w:val="0563C1"/>
                  <w:u w:val="single"/>
                  <w:rFonts w:ascii="Consolas" w:hAnsi="Consolas"/>
                </w:rPr>
                <w:t>src/app/api/README.md</w:t>
              </w:r>
            </w:hyperlink>
          </w:p>
        </w:tc>
        <w:tc>
          <w:tcPr>
            <w:tcW w:type="dxa" w:w="1728"/>
          </w:tcPr>
          <w:p>
            <w:r/>
            <w:r>
              <w:t>_TBD_</w:t>
            </w:r>
          </w:p>
        </w:tc>
        <w:tc>
          <w:tcPr>
            <w:tcW w:type="dxa" w:w="1728"/>
          </w:tcPr>
          <w:p>
            <w:r/>
            <w:r>
              <w:t>Drafted</w:t>
            </w:r>
          </w:p>
        </w:tc>
      </w:tr>
      <w:tr>
        <w:tc>
          <w:tcPr>
            <w:tcW w:type="dxa" w:w="1728"/>
          </w:tcPr>
          <w:p>
            <w:r/>
            <w:r>
              <w:t>Workflows</w:t>
            </w:r>
          </w:p>
        </w:tc>
        <w:tc>
          <w:tcPr>
            <w:tcW w:type="dxa" w:w="1728"/>
          </w:tcPr>
          <w:p>
            <w:r/>
            <w:r>
              <w:t>Durable background processes</w:t>
            </w:r>
          </w:p>
        </w:tc>
        <w:tc>
          <w:tcPr>
            <w:tcW w:type="dxa" w:w="1728"/>
          </w:tcPr>
          <w:p>
            <w:r/>
            <w:hyperlink r:id="rId24">
              <w:r>
                <w:rPr>
                  <w:color w:val="0563C1"/>
                  <w:u w:val="single"/>
                  <w:rFonts w:ascii="Consolas" w:hAnsi="Consolas"/>
                </w:rPr>
                <w:t>src/workflows/README.md</w:t>
              </w:r>
            </w:hyperlink>
          </w:p>
        </w:tc>
        <w:tc>
          <w:tcPr>
            <w:tcW w:type="dxa" w:w="1728"/>
          </w:tcPr>
          <w:p>
            <w:r/>
            <w:r>
              <w:t>_TBD_</w:t>
            </w:r>
          </w:p>
        </w:tc>
        <w:tc>
          <w:tcPr>
            <w:tcW w:type="dxa" w:w="1728"/>
          </w:tcPr>
          <w:p>
            <w:r/>
            <w:r>
              <w:t>Drafted</w:t>
            </w:r>
          </w:p>
        </w:tc>
      </w:tr>
      <w:tr>
        <w:tc>
          <w:tcPr>
            <w:tcW w:type="dxa" w:w="1728"/>
          </w:tcPr>
          <w:p>
            <w:r/>
            <w:r>
              <w:t>Testing</w:t>
            </w:r>
          </w:p>
        </w:tc>
        <w:tc>
          <w:tcPr>
            <w:tcW w:type="dxa" w:w="1728"/>
          </w:tcPr>
          <w:p>
            <w:r/>
            <w:r>
              <w:t>Strategy and required pre-launch tests</w:t>
            </w:r>
          </w:p>
        </w:tc>
        <w:tc>
          <w:tcPr>
            <w:tcW w:type="dxa" w:w="1728"/>
          </w:tcPr>
          <w:p>
            <w:r/>
            <w:hyperlink r:id="rId25">
              <w:r>
                <w:rPr>
                  <w:color w:val="0563C1"/>
                  <w:u w:val="single"/>
                  <w:rFonts w:ascii="Consolas" w:hAnsi="Consolas"/>
                </w:rPr>
                <w:t>tests/README.md</w:t>
              </w:r>
            </w:hyperlink>
          </w:p>
        </w:tc>
        <w:tc>
          <w:tcPr>
            <w:tcW w:type="dxa" w:w="1728"/>
          </w:tcPr>
          <w:p>
            <w:r/>
            <w:r>
              <w:t>_TBD_</w:t>
            </w:r>
          </w:p>
        </w:tc>
        <w:tc>
          <w:tcPr>
            <w:tcW w:type="dxa" w:w="1728"/>
          </w:tcPr>
          <w:p>
            <w:r/>
            <w:r>
              <w:t>Drafted</w:t>
            </w:r>
          </w:p>
        </w:tc>
      </w:tr>
    </w:tbl>
    <w:p/>
    <w:p>
      <w:pPr>
        <w:pStyle w:val="Heading1"/>
      </w:pPr>
      <w:r>
        <w:t>10. Glossary</w:t>
      </w:r>
    </w:p>
    <w:tbl>
      <w:tblPr>
        <w:tblStyle w:val="TableGrid"/>
        <w:tblW w:type="auto" w:w="0"/>
        <w:jc w:val="left"/>
        <w:tblLook w:firstColumn="1" w:firstRow="1" w:lastColumn="0" w:lastRow="0" w:noHBand="0" w:noVBand="1" w:val="04A0"/>
      </w:tblPr>
      <w:tblGrid>
        <w:gridCol w:w="4320"/>
        <w:gridCol w:w="4320"/>
      </w:tblGrid>
      <w:tr>
        <w:tc>
          <w:tcPr>
            <w:tcW w:type="dxa" w:w="4320"/>
          </w:tcPr>
          <w:p>
            <w:r>
              <w:rPr>
                <w:b/>
              </w:rPr>
            </w:r>
            <w:r>
              <w:rPr>
                <w:b/>
              </w:rPr>
              <w:t>Term</w:t>
            </w:r>
          </w:p>
        </w:tc>
        <w:tc>
          <w:tcPr>
            <w:tcW w:type="dxa" w:w="4320"/>
          </w:tcPr>
          <w:p>
            <w:r>
              <w:rPr>
                <w:b/>
              </w:rPr>
            </w:r>
            <w:r>
              <w:rPr>
                <w:b/>
              </w:rPr>
              <w:t>Meaning</w:t>
            </w:r>
          </w:p>
        </w:tc>
      </w:tr>
      <w:tr>
        <w:tc>
          <w:tcPr>
            <w:tcW w:type="dxa" w:w="4320"/>
          </w:tcPr>
          <w:p>
            <w:r/>
            <w:r>
              <w:rPr>
                <w:b/>
              </w:rPr>
              <w:t>Certification</w:t>
            </w:r>
          </w:p>
        </w:tc>
        <w:tc>
          <w:tcPr>
            <w:tcW w:type="dxa" w:w="4320"/>
          </w:tcPr>
          <w:p>
            <w:r/>
            <w:r>
              <w:t>The product a candidate earns — e.g. "Accessibility Testing 101"</w:t>
            </w:r>
          </w:p>
        </w:tc>
      </w:tr>
      <w:tr>
        <w:tc>
          <w:tcPr>
            <w:tcW w:type="dxa" w:w="4320"/>
          </w:tcPr>
          <w:p>
            <w:r/>
            <w:r>
              <w:rPr>
                <w:b/>
              </w:rPr>
              <w:t>Exam version</w:t>
            </w:r>
          </w:p>
        </w:tc>
        <w:tc>
          <w:tcPr>
            <w:tcW w:type="dxa" w:w="4320"/>
          </w:tcPr>
          <w:p>
            <w:r/>
            <w:r>
              <w:t>A specific, versioned blueprint used to test a certification. Frozen once published.</w:t>
            </w:r>
          </w:p>
        </w:tc>
      </w:tr>
      <w:tr>
        <w:tc>
          <w:tcPr>
            <w:tcW w:type="dxa" w:w="4320"/>
          </w:tcPr>
          <w:p>
            <w:r/>
            <w:r>
              <w:rPr>
                <w:b/>
              </w:rPr>
              <w:t>Slot</w:t>
            </w:r>
          </w:p>
        </w:tc>
        <w:tc>
          <w:tcPr>
            <w:tcW w:type="dxa" w:w="4320"/>
          </w:tcPr>
          <w:p>
            <w:r/>
            <w:r>
              <w:t>A scheduled sitting of an exam version, with capacity</w:t>
            </w:r>
          </w:p>
        </w:tc>
      </w:tr>
      <w:tr>
        <w:tc>
          <w:tcPr>
            <w:tcW w:type="dxa" w:w="4320"/>
          </w:tcPr>
          <w:p>
            <w:r/>
            <w:r>
              <w:rPr>
                <w:b/>
              </w:rPr>
              <w:t>Booking</w:t>
            </w:r>
          </w:p>
        </w:tc>
        <w:tc>
          <w:tcPr>
            <w:tcW w:type="dxa" w:w="4320"/>
          </w:tcPr>
          <w:p>
            <w:r/>
            <w:r>
              <w:t>A candidate's reserved seat in a slot. Booking is enrolment.</w:t>
            </w:r>
          </w:p>
        </w:tc>
      </w:tr>
      <w:tr>
        <w:tc>
          <w:tcPr>
            <w:tcW w:type="dxa" w:w="4320"/>
          </w:tcPr>
          <w:p>
            <w:r/>
            <w:r>
              <w:rPr>
                <w:b/>
              </w:rPr>
              <w:t>Attempt</w:t>
            </w:r>
          </w:p>
        </w:tc>
        <w:tc>
          <w:tcPr>
            <w:tcW w:type="dxa" w:w="4320"/>
          </w:tcPr>
          <w:p>
            <w:r/>
            <w:r>
              <w:t>One candidate's sitting of an exam, from start to submission</w:t>
            </w:r>
          </w:p>
        </w:tc>
      </w:tr>
      <w:tr>
        <w:tc>
          <w:tcPr>
            <w:tcW w:type="dxa" w:w="4320"/>
          </w:tcPr>
          <w:p>
            <w:r/>
            <w:r>
              <w:rPr>
                <w:b/>
              </w:rPr>
              <w:t>Response</w:t>
            </w:r>
          </w:p>
        </w:tc>
        <w:tc>
          <w:tcPr>
            <w:tcW w:type="dxa" w:w="4320"/>
          </w:tcPr>
          <w:p>
            <w:r/>
            <w:r>
              <w:t>A candidate's answer to one question within an attempt</w:t>
            </w:r>
          </w:p>
        </w:tc>
      </w:tr>
      <w:tr>
        <w:tc>
          <w:tcPr>
            <w:tcW w:type="dxa" w:w="4320"/>
          </w:tcPr>
          <w:p>
            <w:r/>
            <w:r>
              <w:rPr>
                <w:b/>
              </w:rPr>
              <w:t>Release</w:t>
            </w:r>
          </w:p>
        </w:tc>
        <w:tc>
          <w:tcPr>
            <w:tcW w:type="dxa" w:w="4320"/>
          </w:tcPr>
          <w:p>
            <w:r/>
            <w:r>
              <w:t>The admin action making computed results visible to candidates. Distinct from grading.</w:t>
            </w:r>
          </w:p>
        </w:tc>
      </w:tr>
      <w:tr>
        <w:tc>
          <w:tcPr>
            <w:tcW w:type="dxa" w:w="4320"/>
          </w:tcPr>
          <w:p>
            <w:r/>
            <w:r>
              <w:rPr>
                <w:b/>
              </w:rPr>
              <w:t>Credential</w:t>
            </w:r>
          </w:p>
        </w:tc>
        <w:tc>
          <w:tcPr>
            <w:tcW w:type="dxa" w:w="4320"/>
          </w:tcPr>
          <w:p>
            <w:r/>
            <w:r>
              <w:t>The credential earned by passing. Canonically a public web page, not a PDF.</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conventions.md" TargetMode="External"/><Relationship Id="rId10" Type="http://schemas.openxmlformats.org/officeDocument/2006/relationships/hyperlink" Target="routes.md" TargetMode="External"/><Relationship Id="rId11" Type="http://schemas.openxmlformats.org/officeDocument/2006/relationships/hyperlink" Target="auth.md" TargetMode="External"/><Relationship Id="rId12" Type="http://schemas.openxmlformats.org/officeDocument/2006/relationships/hyperlink" Target="../src/db/README.md" TargetMode="External"/><Relationship Id="rId13" Type="http://schemas.openxmlformats.org/officeDocument/2006/relationships/hyperlink" Target="../src/core/certifications/README.md" TargetMode="External"/><Relationship Id="rId14" Type="http://schemas.openxmlformats.org/officeDocument/2006/relationships/hyperlink" Target="../src/core/questions/README.md" TargetMode="External"/><Relationship Id="rId15" Type="http://schemas.openxmlformats.org/officeDocument/2006/relationships/hyperlink" Target="../src/core/attempts/README.md" TargetMode="External"/><Relationship Id="rId16" Type="http://schemas.openxmlformats.org/officeDocument/2006/relationships/hyperlink" Target="../src/core/grading/README.md" TargetMode="External"/><Relationship Id="rId17" Type="http://schemas.openxmlformats.org/officeDocument/2006/relationships/hyperlink" Target="../src/core/credentials/README.md" TargetMode="External"/><Relationship Id="rId18" Type="http://schemas.openxmlformats.org/officeDocument/2006/relationships/hyperlink" Target="../src/app/(candidate" TargetMode="External"/><Relationship Id="rId19" Type="http://schemas.openxmlformats.org/officeDocument/2006/relationships/hyperlink" Target="../src/components/booking/README.md" TargetMode="External"/><Relationship Id="rId20" Type="http://schemas.openxmlformats.org/officeDocument/2006/relationships/hyperlink" Target="../src/app/(exam" TargetMode="External"/><Relationship Id="rId21" Type="http://schemas.openxmlformats.org/officeDocument/2006/relationships/hyperlink" Target="../src/app/admin/README.md" TargetMode="External"/><Relationship Id="rId22" Type="http://schemas.openxmlformats.org/officeDocument/2006/relationships/hyperlink" Target="../src/app/verify/README.md" TargetMode="External"/><Relationship Id="rId23" Type="http://schemas.openxmlformats.org/officeDocument/2006/relationships/hyperlink" Target="../src/app/api/README.md" TargetMode="External"/><Relationship Id="rId24" Type="http://schemas.openxmlformats.org/officeDocument/2006/relationships/hyperlink" Target="../src/workflows/README.md" TargetMode="External"/><Relationship Id="rId25" Type="http://schemas.openxmlformats.org/officeDocument/2006/relationships/hyperlink" Target="../tests/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