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宋体" w:eastAsia="宋体" w:hAnsi="宋体"/>
          <w:b/>
          <w:bCs/>
          <w:sz w:val="44"/>
          <w:szCs w:val="44"/>
        </w:rPr>
        <w:t xml:space="preserve">精讀版·語詞彙釋（4篇論文多模態精讀，15辭條）</w:t>
      </w:r>
    </w:p>
    <w:p>
      <w:r>
        <w:br w:type="page"/>
      </w:r>
    </w:p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A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《壹》257  木牘  CWJ1③：71-26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J1③：281-5A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2010CWJ1③：71-26 / J1③：281-5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《壹》257、《選釋》例五兩件木牘格式相同，均由劾狀部分和呈狀部分組成。劾狀部分以案字開首，表示經過案驗。劾狀首先介紹犯劾罪者的籍貫和姓名，並以「皆坐」結尾。其次介紹犯劾人的身份，最後介紹犯劾情節。可見東漢這一時期的舉劾文書具有固定的格式，與居延新簡相比也發生了較大的變化。（190-191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案，考察、審理。《史記·魏其武安侯列傳》：「丞相言灌夫家在潁川，橫甚，民苦之。請案。」《五一簡》中的「案」常常單獨使用，領起對案件原委的說明。整理者（2015）：「案，察驗。」李娟（2006）定義司法語詞「案」為：「司法人員接到告劾或聞知不法事件後，用以收集證據、揭發和證實犯罪的整個過程稱『按（案）』」。程政舉（2010）：「案，案其實，立案訊問、調查核實嫌疑人罪名能否成立。」（119-120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通按，之下為說明內容，因此可以用冒號。（301-304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與劾相關的文書有其特殊格式：標誌性詞語是開頭的「案」和結尾處的「敢言之」等詞句。木牘以「案：都鄉某里大男馬胡、南鄉不處里區馮，皆坐」開篇，再列舉涉案人士的居住地與身份，敘述案情，交代被劾者罪名，末以舉劾者署名加「敢言之」作結。這一格式與「君教若」開頭之告類木牘判然有別，是判定一份木牘屬於劾文書的核心標誌。（130-132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[案驗]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《貳》413  CWJ1③：201-22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案驗，調查核實。《史記·李斯列傳》：「〔二世〕欲案丞相，恐其不審，乃使人案驗三川守與盜通狀。」《漢書·張敞傳》：「敞使賊捕掾絮舜有所案驗。」程政舉認為「案」和「驗」應為兩個相對獨立的獄案審理程序，先有「案」而後有「驗」。「案」是立案訊問、調查核實嫌疑人罪名能否成立，即初步查明案件事實真相的程序；「驗」則是進一步核實、查驗嫌疑人的罪狀。「案驗」則是將兩個程序合併在一起表述，即查證屬實之意。（120-121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[案診]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《壹》123  木兩行  CWJ1①：110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整理者（2015）：「案診，查驗。」案診，用於刑事案件，是調查和驗視的合稱。（121-122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[案正]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《選釋》五八  木兩行  CWJ1③：325-2-17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整理者（2015）：「案，調查。《後漢書·鍾離意傳》『府下記案考之』，李賢注：『案，察之也。』案正，即調查核驗後予以修正。」正，修正，匡正。《論語·學而》：「就有道而正焉。」《尚書·盤庚》：「正法度」，孫星衍注疏：「正，謂修正之。」「以前處赦罰」，意指還按照上次的審理結果予以寬免，故而稱之為「案正」。（121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[案致]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《選釋》三  木兩行  CWJ1①：86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【繆愷然2020】</w:t>
      </w:r>
      <w:r>
        <w:rPr>
          <w:rFonts w:ascii="宋体" w:eastAsia="宋体" w:hAnsi="宋体"/>
          <w:kern w:val="2"/>
          <w:sz w:val="21"/>
          <w:szCs w:val="21"/>
        </w:rPr>
        <w:t xml:space="preserve"> 整理者（2015）：「案致，加以考案。見裘錫圭：《〈居延漢簡甲乙編〉釋文商榷（一）》。案致曲折，查明案件複雜不明的地方。」「致」有詳審、推究的意思。《禮記·樂記》「致樂以治心」鄭玄注：「致，猶深審也。」案致，查辦、詳審。《張家山漢簡·二年律令》219-220：「縣道官有請而當為律令者，各請所屬所二千石官，二千石官上相國、御史，相國、御史案致，當請，請之，毋得徑請。」《漢書·魏相傳》：「相疑其有姦，收捕，案致其罪，論棄客市。」（120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B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[不承用詔書]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J1③：281-5A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李均明先生已指出「不承用詔書」為罪名。《晉書·刑法志》：「廄律有乏軍之興，及舊典有奉詔不謹，不承用詔書。漢氏施行有小愆之反不如令，輒劾以不承用詔書，乏軍要斬。」《漢書·王尊傳》：「今御史大夫奏尊『傷害陰陽，為國家憂，無承用詔書之意，靖言庸違，象龔滔天』。」可見漢代存在「不承用詔書」罪。沈家本《漢律摭遺》有「不承用詔書」罪，他蒐集了兩條漢代與「不承用詔書」有關的事例。從材料看，「不承用詔書」指不遵從詔書、不奉行詔書。（191-192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G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[敢言之]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《壹》257  木牘  CWJ1③：71-26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2010CWJ1③：71-26 / J1③：281-5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上行文書的固定用語，此下為上行文書的具體內容。（301-304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與劾相關文書的固定收尾用語。劾文書以「案」開頭領起被劾者身份案情，末尾以舉劾者署名加「敢言之」作結。（130-132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[格殺]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J1③：169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「格殺」之本義指相拒而殺。「格」，《說文》：「格，長木貌。」「格」的本義為「長木」，即樹之長枝，引申出「枝格相交之義」，故往往有「扞（捍）」、「距」等義。《禮記·學記》：「發然後禁，則扞格而不勝。」《史記·李斯列傳》：「故韓子曰『慈母有敗子而嚴家無格虜』者，何也？」司馬貞索隱：「格，強扞也。」漢代和唐代法律意義上的「格殺」，按照閆曉君先生的研究，主要分為兩種：一種是正當防衛類「格殺」，即有人犯罪，被害人與罪犯相拒而殺之。另一種是拒捕類「格殺」，即逮捕罪人時，罪人持仗拒捕，因此捕者與罪人格鬥而殺之。漢律有關於拒捕類「格殺」的法律條文：張家山漢簡《二年律令·捕律》：「捕盜賊、罪人，及以告劾逮捕人，所捕格鬥而殺傷之，及窮之而自殺也，殺傷者除，其當購賞者，半購賞之。」（195-198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J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[稽留]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J1③：325-1-140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「稽留」為犯罪。《晉書·刑法志》：「興律有乏徭、稽留。」程樹德《漢律考》「興律」條下有「乏徭、稽留」。沈家本《漢律摭遺》「興律」條下亦有「稽留」。可見漢代存在「稽留」之罪。文書構成犯罪，當稽留文書影響官府征發之時，即以「乏興」之罪論之。J1③：325-1-140 木牘記載「皮船載官米財」、「皮受傯當保載」等，即王皮被官府之雇，用船運送軍糧至「屯營」，此與軍事征發有關。而王皮被亭長拘捕，導致軍糧「稽留」而「不得發」。（192-193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[舉劾書]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J1③：281-5A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J1③：281-5A 為漢代的舉劾文書，與居延新簡中的「舉劾書」比較接近。按此類文書當為舉劾書，即舉劾犯罪的文書，由舉劾者呈送司法機關，要求依法對犯罪予以審判。高恒先生和李均明先生對此類文書作過深入研究，他們指出其由劾文（劾章）、劾狀和呈文等組成。「劾狀」是舉劾者的書面起訴狀，其主要內容是「狀辭」，即舉劾者的自述，包括舉劾者的情況、被舉劾者的情況和舉劾事項等。（187-191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[君教諾]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2010CWJ1①：25-21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木簡  CWJ1①：101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【姚遠2021】</w:t>
      </w:r>
      <w:r>
        <w:rPr>
          <w:rFonts w:ascii="宋体" w:eastAsia="宋体" w:hAnsi="宋体"/>
          <w:kern w:val="2"/>
          <w:sz w:val="21"/>
          <w:szCs w:val="21"/>
        </w:rPr>
        <w:t xml:space="preserve"> 此件為木牘，木牘右側有縱向破損，「君教諾」三字僅餘左半。其中「諾」字相較於其他二字更大，有典型的「畫諾」特徵。「君教諾」在五一簡中出現較多。君：請府君。教、諾：教，教書，下級向上級請教指示的文書；諾，上級機關的批示。（327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此件為木簡，上端稍有殘損，無編痕。此簡「君教」二字較小，「諾」字極大，保存較完整。有典型的「畫諾」特徵。「君教諾」在五一廣場東漢簡牘中出現較多。（332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[君教若]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CWJ1③：325-2-9 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五一廣場簡中與告相關的木牍較一般木兩行寬出許多，分三欄書寫，首欄通常寫作「君教若」，二三欄可以貫通連讀。這種「君教若—議請—君教諾」的三段式呈批結構，是東漢臨湘縣廷處理「告」類案件的標準文書格式，與下文劾文書以「案」開頭、「敢言之」作結的格式判然有別。（124-125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M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[謀議]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J1③：169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簡文中的「謀議」當指「謀賊殺人」。古代法律術語中的「謀」指策劃犯罪，《晉書·刑法志》引張斐《律表》：「二人對議謂之謀。」「謀」往往指「二人」「對議」之行為，但是在特殊情況下，「一人」策劃犯罪，沒有「對議」之行為，亦構成「謀」，如《唐律·賊盜》疏議：「『謀殺人者』，謂二人以上；若事已彰露，欲殺不虛，雖獨一人，亦同二人謀法，徒三年。」在 J1③：169 木牘中，宗、禹與二男子等多人共同策劃殺人，其「謀」的過程包含了「二人」以上「對議」的內容，因此簡文稱為「謀議」。此處的「謀議」當指「謀殺人」，《二年律令·賊律》：「謀賊殺傷人，未殺，黥為城旦舂。」漢代的「謀賊殺人」之罪指策劃殺人而未殺。（198-199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[謀議形執]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J1③：169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「謀議形執」，《簡報》解釋為「分析形勢，採取對策」。王子今先生認為，「謀議」是考實的對象，不宜分讀。「形執」指暴惡之強勢。「謀議形執」可以連讀，則「形執」也是「宗、禹及二男子」之「形執」，「謀議」與「形執」是都需要司法人員嚴肅「考實」的案情主體。按王子今先生所言甚是，此處的「謀議」並非指司法機關之「謀議」，而是指宗、禹與二男子之「謀議」，是「考實」的對象，因此此句應斷作「（省）嚴部吏考實宗、禹與二男子謀議、形執」。（198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Q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[強盜]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J1③：169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【吳雪飛2017】</w:t>
      </w:r>
      <w:r>
        <w:rPr>
          <w:rFonts w:ascii="宋体" w:eastAsia="宋体" w:hAnsi="宋体"/>
          <w:kern w:val="2"/>
          <w:sz w:val="21"/>
          <w:szCs w:val="21"/>
        </w:rPr>
        <w:t xml:space="preserve"> 「強盜」，《報告》謂「搶劫」。按漢代的「強盜」是否為罪名，其犯罪形態怎樣，殊難考索。漢代傳世文獻中記載「強盜」甚少，《後漢書·陳忠傳》：「夫穿窬不禁，則致強盜；強盜不斷，則為攻盜；攻盜成群，必生大奸。」這是對於「強盜」的最詳細記載。出土材料中有關於「強盜」的材料數條，如《二年律令·盜律》：「群盜及亡從群盜，殴折人肢，胅體，及令跛蹇，若縛守將人而強盜之...皆磔。」唐律的「強盜」是相對於「竊盜」的罪名，指公然以威脅或暴力強取財物，類似於今天的搶劫犯罪。（193-195 頁）</w:t>
      </w:r>
    </w:p>
    <w:p/>
    <w:sectPr>
      <w:pgSz w:w="11906" w:h="16838" w:orient="portrait"/>
      <w:pgMar w:top="1440" w:right="1800" w:bottom="1440" w:left="180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kern w:val="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精讀版·語詞彙釋（4篇論文多模態精讀，15辭條）</dc:title>
  <dc:creator>语词汇释生成器</dc:creator>
  <cp:lastModifiedBy>Un-named</cp:lastModifiedBy>
  <cp:revision>1</cp:revision>
  <dcterms:created xsi:type="dcterms:W3CDTF">2026-05-20T08:21:36.498Z</dcterms:created>
  <dcterms:modified xsi:type="dcterms:W3CDTF">2026-05-20T08:21:36.498Z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