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宋体" w:eastAsia="宋体" w:hAnsi="宋体"/>
          <w:b/>
          <w:bCs/>
          <w:sz w:val="44"/>
          <w:szCs w:val="44"/>
        </w:rPr>
        <w:t xml:space="preserve">示範·語詞彙釋（多論文聚合，模仿徐碩硕士論文範式）</w:t>
      </w:r>
    </w:p>
    <w:p>
      <w:r>
        <w:br w:type="page"/>
      </w:r>
    </w:p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A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[案]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《壹》257  木牘  CWJ1③：71-26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2010CWJ1③：71-26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通按，之下為說明內容，因此可以用冒號。（301-304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【林琦婧2022】</w:t>
      </w:r>
      <w:r>
        <w:rPr>
          <w:rFonts w:ascii="宋体" w:eastAsia="宋体" w:hAnsi="宋体"/>
          <w:kern w:val="2"/>
          <w:sz w:val="21"/>
          <w:szCs w:val="21"/>
        </w:rPr>
        <w:t xml:space="preserve"> 與劾相關的文書有其特殊格式：標誌性詞語是開頭的"案"和結尾處的"敢言之"等詞句。木牘以"案：都鄉某里大男馬胡、南鄉不處里區馮，皆坐"開篇，再列舉涉案人士的居住地與身份，敘述案情，交代被劾者罪名，末以舉劾者署名加"敢言之"作結。（130-132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B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[白]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  竹簡  2010CWJ1①：25-23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【姚遠2021】</w:t>
      </w:r>
      <w:r>
        <w:rPr>
          <w:rFonts w:ascii="宋体" w:eastAsia="宋体" w:hAnsi="宋体"/>
          <w:kern w:val="2"/>
          <w:sz w:val="21"/>
          <w:szCs w:val="21"/>
        </w:rPr>
        <w:t xml:space="preserve"> 下級對上級機關的稟告。本件從內容上看是擔任值班期間有自訴類案件，因此記錄了這份文書。（329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C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[次妻孝]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木兩行  J1③：325-4-46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【楊小亮2020】</w:t>
      </w:r>
      <w:r>
        <w:rPr>
          <w:rFonts w:ascii="宋体" w:eastAsia="宋体" w:hAnsi="宋体"/>
          <w:kern w:val="2"/>
          <w:sz w:val="21"/>
          <w:szCs w:val="21"/>
        </w:rPr>
        <w:t xml:space="preserve"> 2015年12月《長沙五一廣場東漢簡牍選釋》出版，公布了三枚與上述"王皮木牍"相關的木兩行，劉國忠先生首先對之進行了討論。木兩行中關於"次妻"的上下文是"未敢擅付。又次妻孝自言"，從語義推測，這兩句應有兩個不同的主語。（18-19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D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[大男]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《壹》257  木牘  CWJ1③：71-26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成年男子。居延漢簡中有"大男""大女"的概念，作為戶簿登記的習慣用語，是繳納賦稅的依據。此外，居延漢簡中還有"使小男""使小女"的概念：六歲以下為"未使男""未使女"；七至十四歲為"使男""使女"；十五歲以上稱為"大男""大女"。（301-304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[大司農]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J1③：315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【李蘭芳2017B】</w:t>
      </w:r>
      <w:r>
        <w:rPr>
          <w:rFonts w:ascii="宋体" w:eastAsia="宋体" w:hAnsi="宋体"/>
          <w:kern w:val="2"/>
          <w:sz w:val="21"/>
          <w:szCs w:val="21"/>
        </w:rPr>
        <w:t xml:space="preserve"> 大司農，掌錢穀糧倉之官。《後漢書·百官志》："大司農，卿一人，中二千石。本注曰：掌諸錢穀金帛諸貨幣。"漢代大司農為九卿之一，主管國家財政。（223-224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[邸土]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CWJ1③：325-1-55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CWJ1③：325-1-55 / 325-4-25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邸土：奴婢人名。學界對此案例的討論內容較多，主要圍繞免、邸土是兩個奴婢的名字還是放免邸土的問題。（—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【文霞2023】</w:t>
      </w:r>
      <w:r>
        <w:rPr>
          <w:rFonts w:ascii="宋体" w:eastAsia="宋体" w:hAnsi="宋体"/>
          <w:kern w:val="2"/>
          <w:sz w:val="21"/>
          <w:szCs w:val="21"/>
        </w:rPr>
        <w:t xml:space="preserve"> 免、邸土：陳偉先生認為應該是放免邸土，"何"把散用錢歸為己有。整理小組則將"免、邸土"解釋為兩個奴婢。筆者認同陳偉先生的看法。《說文解字》將"免"解釋為會意字，意為"兔逸也，從免不見足"，段玉裁引申為"凡逃逸者皆謂之免，假借為袒免"。此處應是將邸土免為庶人的意思。（76-77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[都鄉澤陽里、南鄉不處里]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《壹》257  木牘  CWJ1③：71-26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這些地方是案件當事人馬胡、區馮的籍貫地。都鄉、南鄉均為長沙郡臨湘縣屬鄉名稱。"都鄉"為基置所在鄉。里是比鄉更低一層的組織。乡、里是漢代不可缺少的地方管理組織，漢代的行政機構最底層為里，轄於鄉，一鄉轄里數里。里的建制大概在百戶左右。（301-304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G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[敢言之]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2010CWJ1③：71-26 / J1③：281-5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《壹》257  木牘  CWJ1③：71-26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上行文書的固定用語，此下為上行文書的具體內容。（301-304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【林琦婧2022】</w:t>
      </w:r>
      <w:r>
        <w:rPr>
          <w:rFonts w:ascii="宋体" w:eastAsia="宋体" w:hAnsi="宋体"/>
          <w:kern w:val="2"/>
          <w:sz w:val="21"/>
          <w:szCs w:val="21"/>
        </w:rPr>
        <w:t xml:space="preserve"> 與劾相關文書的固定收尾用語。劾文書以"案"開頭領起被劾者身份案情，末尾以舉劾者署名加"敢言之"作結。這一格式與"君教若"開頭之告類木牍判然有別，是判定一份木牍屬於劾文書的核心標誌。（130-132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[格]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《壹》257  木牘  CWJ1③：71-26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格殺。《後漢書·劉盆子傳》："兒戲尚不如此，皆可格殺！"注："相拒而殺之曰格。"此處指馮、建及某人在逐捕過程中因抵抗而被殺死。（301-304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[辜]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《壹》257  木牘  CWJ1③：71-26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即保辜制度。保辜制度是中國古代法律規定的一種保護受害人的制度。凡是鬥毆傷人案件，被告要在一定期限內對受害人的傷情變化負責，如果受害人在限期內因傷情惡化死亡，被告應按殺人罪論處。這種制度稱為保辜，所定期限稱為辜限。漢代保辜制度規定傷人辜限為二十日，二十日內受害人死亡，傷人者以殺人論。《二年律令·賊律》："鬥傷人，而以傷辜二旬中死，為殺人。"（301-304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J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[具簿]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J1③：314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【李蘭芳2017B】</w:t>
      </w:r>
      <w:r>
        <w:rPr>
          <w:rFonts w:ascii="宋体" w:eastAsia="宋体" w:hAnsi="宋体"/>
          <w:kern w:val="2"/>
          <w:sz w:val="21"/>
          <w:szCs w:val="21"/>
        </w:rPr>
        <w:t xml:space="preserve"> 具簿，整理之簿冊。漢代官府對人口、財物等需要造冊登記，具簿即指經整理的這類簿冊。（220-221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[君教諾]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  木牘  2010CWJ1①：25-21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木簡  CWJ1①：101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【姚遠2021】</w:t>
      </w:r>
      <w:r>
        <w:rPr>
          <w:rFonts w:ascii="宋体" w:eastAsia="宋体" w:hAnsi="宋体"/>
          <w:kern w:val="2"/>
          <w:sz w:val="21"/>
          <w:szCs w:val="21"/>
        </w:rPr>
        <w:t xml:space="preserve"> 此件為木牘，木牘右側有縱向破損，"君教諾"三字僅餘左半。其中"諾"字相較於其他二字更大，有典型的"畫諾"特徵。"君教諾"在五一簡中出現較多。君：請府君。教、諾：教，教書，下級向上級請教指示的文書；諾，上級機關的批示。（327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此件為木簡，上端稍有殘損，無編痕。此簡"君教"二字較小，"諾"字極大，保存較完整。有典型的"畫諾"特徵。"君教諾"在五一廣場東漢簡牘中出現較多。君：請府君。教諾：教，教書，下級向上級請教指示的文書；諾，上級機關的批示。（332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[君教若]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CWJ1③：325-2-9 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【林琦婧2022】</w:t>
      </w:r>
      <w:r>
        <w:rPr>
          <w:rFonts w:ascii="宋体" w:eastAsia="宋体" w:hAnsi="宋体"/>
          <w:kern w:val="2"/>
          <w:sz w:val="21"/>
          <w:szCs w:val="21"/>
        </w:rPr>
        <w:t xml:space="preserve"> 五一廣場簡中與告相關的木牍較一般木兩行寬出許多，分三欄書寫，首欄通常寫作"君教若"，二三欄可以貫通連讀。這種"君教若—議請—君教諾"的三段式呈批結構，是東漢臨湘縣廷處理"告"類案件的標準文書格式，與下文劾文書以"案"開頭、"敢言之"作結的格式判然有別。（124-125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K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[髡鉗]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J1③：314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【李蘭芳2017B】</w:t>
      </w:r>
      <w:r>
        <w:rPr>
          <w:rFonts w:ascii="宋体" w:eastAsia="宋体" w:hAnsi="宋体"/>
          <w:kern w:val="2"/>
          <w:sz w:val="21"/>
          <w:szCs w:val="21"/>
        </w:rPr>
        <w:t xml:space="preserve"> 髡鉗，為髡刑加鉗刑的合稱。髡刑剃除犯人鬚髮，鉗刑以鐵圈束頸，二刑並用作為對重罪犯人的恥辱性懲罰。（221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T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[貼鄉小史]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木簡  CWJ1①：94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小史：鄉屬小吏，佐史中級別最低者。《漢官》："雒陽令秩千石，丞三人四百石⋯⋯鄉有秩、獄史五十六人，佐史、鄉佐七十七人，斗食、令史、嗇夫、假五十人，官掾史、幹小史二百五十人，書佐九十人，修行二百六十人。"（323-325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[亭長]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木簡  CWJ1-3：193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CWJ1③：325-2-9 等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  木簡  2010CWJ1①：85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【姚遠2021】</w:t>
      </w:r>
      <w:r>
        <w:rPr>
          <w:rFonts w:ascii="宋体" w:eastAsia="宋体" w:hAnsi="宋体"/>
          <w:kern w:val="2"/>
          <w:sz w:val="21"/>
          <w:szCs w:val="21"/>
        </w:rPr>
        <w:t xml:space="preserve"> 見前文亭長注。亭長是基層治安官吏，《後漢書·百官志》載亭長"主求捕盜賊"。（342-344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亭是漢代的基層行政單位，在鄉以下，里以上的行政機構，《漢書·百官公卿表》："大率十里一亭，亭有長；十亭一鄉，鄉有三老、有秩、嗇夫、游徼。三老掌教化；嗇夫職聽訟，收賦稅；游徼徼循禁賊盜。""亭有亭長，以禁盜賊，本注曰：亭長，主求捕盜賊，承望都尉。"（317-319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【林琦婧2022】</w:t>
      </w:r>
      <w:r>
        <w:rPr>
          <w:rFonts w:ascii="宋体" w:eastAsia="宋体" w:hAnsi="宋体"/>
          <w:kern w:val="2"/>
          <w:sz w:val="21"/>
          <w:szCs w:val="21"/>
        </w:rPr>
        <w:t xml:space="preserve"> 亭長亦擁有舉劾職權。木牍五之舉劾者為曲平亭長，《後漢書·百官五》載"亭有亭長，以禁盜賊。本注曰：亭長，主求捕盜賊，承望都尉。"（135-138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X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[孝不來·詆未到]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J1③：325-1-140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【楊小亮2020】</w:t>
      </w:r>
      <w:r>
        <w:rPr>
          <w:rFonts w:ascii="宋体" w:eastAsia="宋体" w:hAnsi="宋体"/>
          <w:kern w:val="2"/>
          <w:sz w:val="21"/>
          <w:szCs w:val="21"/>
        </w:rPr>
        <w:t xml:space="preserve"> 劉樂賢先生已正確地將《簡報》所釋的第二個"誼"字，改釋為"詆"字，認為"誼"通"議"，"詆"讀為"抵"，甚是。但可能受到下文"亭長姓薛不知名奪收捕皮"的影響，造成釋讀困難。（15-16 頁）</w:t>
      </w:r>
    </w:p>
    <w:p/>
    <w:p>
      <w:pPr>
        <w:spacing w:after="200" w:before="400"/>
        <w:jc w:val="center"/>
      </w:pPr>
      <w:r>
        <w:rPr>
          <w:rFonts w:ascii="宋体" w:eastAsia="宋体" w:hAnsi="宋体"/>
          <w:b/>
          <w:bCs/>
          <w:sz w:val="36"/>
          <w:szCs w:val="36"/>
        </w:rPr>
        <w:t xml:space="preserve">Z</w:t>
      </w:r>
    </w:p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[占書]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《壹》257  木牘  CWJ1③：71-26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CWJ1③：325-1-55 / 325-4-25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即下文"名數"。《漢書·高帝紀》："詔曰'民前或相聚保山澤，不書名數，今天下已定，令各歸其縣。'師古注："名數，謂戶籍也。""生不占書"：此處有兩種理解：一種指出生後沒有上報戶口；另一種，由於下文馮被殺，可能指活著的時候沒有登記戶口。（301-304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【文霞2023】</w:t>
      </w:r>
      <w:r>
        <w:rPr>
          <w:rFonts w:ascii="宋体" w:eastAsia="宋体" w:hAnsi="宋体"/>
          <w:kern w:val="2"/>
          <w:sz w:val="21"/>
          <w:szCs w:val="21"/>
        </w:rPr>
        <w:t xml:space="preserve"> 關於"散用錢給和"也值得討論，陳偉先生曾認為簡牍上"和"的右邊不清楚，可能是"私"之誤，是說"何"把出賣宅和奴婢的錢化為己有。生不占書，即沒有按規定上報戶口。（77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[朱（米）郢]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J1③：325-1-140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【楊小亮2020】</w:t>
      </w:r>
      <w:r>
        <w:rPr>
          <w:rFonts w:ascii="宋体" w:eastAsia="宋体" w:hAnsi="宋体"/>
          <w:kern w:val="2"/>
          <w:sz w:val="21"/>
          <w:szCs w:val="21"/>
        </w:rPr>
        <w:t xml:space="preserve"> 自《簡報》發布後，學者皆因《簡報》認為"郢"的全名是"朱郢"，其實，所謂的"朱"字是誤釋。此字圖版上部有所暈染，牍中確定的"米"字與之相近，此字釋"朱"或釋"米"。（13-15 頁）</w:t>
      </w:r>
    </w:p>
    <w:p/>
    <w:p>
      <w:pPr>
        <w:keepNext/>
        <w:spacing w:after="80" w:before="240"/>
      </w:pPr>
      <w:r>
        <w:rPr>
          <w:rFonts w:ascii="宋体" w:eastAsia="宋体" w:hAnsi="宋体"/>
          <w:b/>
          <w:bCs/>
          <w:sz w:val="21"/>
          <w:szCs w:val="21"/>
        </w:rPr>
        <w:t xml:space="preserve">[自言]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編號：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CWJ1③：325-2-9 / 325-5-21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《壹》  竹簡  2010CWJ1①：25-23</w:t>
      </w:r>
    </w:p>
    <w:p>
      <w:pPr>
        <w:jc w:val="both"/>
      </w:pPr>
      <w:r>
        <w:rPr>
          <w:rFonts w:ascii="宋体" w:eastAsia="宋体" w:hAnsi="宋体"/>
          <w:kern w:val="2"/>
          <w:sz w:val="21"/>
          <w:szCs w:val="21"/>
        </w:rPr>
        <w:t xml:space="preserve">木牘  CWJ1①：92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【姚遠2021】</w:t>
      </w:r>
      <w:r>
        <w:rPr>
          <w:rFonts w:ascii="宋体" w:eastAsia="宋体" w:hAnsi="宋体"/>
          <w:kern w:val="2"/>
          <w:sz w:val="21"/>
          <w:szCs w:val="21"/>
        </w:rPr>
        <w:t xml:space="preserve"> 事件的當事人、關聯人或見證人，主動向官府陳述、檢舉、揭發、辭訟等行為，有時有司法訴訟屬性。亦有可能不含有司法屬性，如《漢書·匈奴傳下》："單于自言願婿漢氏以自親。"在司法訴訟程序中，"自言"行為成為啟動訴訟的重要原因之一。含義近似於當代"控告"。與"自告"有區別，"自告"意為案件當事人自訴行為。（329-332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【姚遠2022A】</w:t>
      </w:r>
      <w:r>
        <w:rPr>
          <w:rFonts w:ascii="宋体" w:eastAsia="宋体" w:hAnsi="宋体"/>
          <w:kern w:val="2"/>
          <w:sz w:val="21"/>
          <w:szCs w:val="21"/>
        </w:rPr>
        <w:t xml:space="preserve"> 自述，自我陳述。多指案件的當事人、關聯人或見證人，主動向官府陳述、檢舉、揭發、辭訟等行為。"自言"行為的提起者可能是案件當事人，也有可能不是當事人。（320-322 頁）</w:t>
      </w:r>
    </w:p>
    <w:p>
      <w:pPr>
        <w:spacing w:after="80" w:before="80"/>
        <w:jc w:val="both"/>
      </w:pPr>
      <w:r>
        <w:rPr>
          <w:rFonts w:ascii="宋体" w:eastAsia="宋体" w:hAnsi="宋体"/>
          <w:b/>
          <w:bCs/>
          <w:kern w:val="2"/>
          <w:sz w:val="21"/>
          <w:szCs w:val="21"/>
        </w:rPr>
        <w:t xml:space="preserve">【林琦婧2022】</w:t>
      </w:r>
      <w:r>
        <w:rPr>
          <w:rFonts w:ascii="宋体" w:eastAsia="宋体" w:hAnsi="宋体"/>
          <w:kern w:val="2"/>
          <w:sz w:val="21"/>
          <w:szCs w:val="21"/>
        </w:rPr>
        <w:t xml:space="preserve"> "自言"是吏民以口頭形式向官府提出告的標誌性用語。木牍一中"女子張罷自言"桑鄉佐盱欠布錢萬九千三百五十，木牍二中"民自言，辭如牒"，皆是口頭告由官吏記錄後形成書面文書的實例。傳世文獻中"自言"的用法多與"訟"官府相關聯，如《漢書·趙尹韓張兩王傳》"民有昆弟相與訟田自言"。（127-129 頁）</w:t>
      </w:r>
    </w:p>
    <w:p/>
    <w:sectPr>
      <w:pgSz w:w="11906" w:h="16838" w:orient="portrait"/>
      <w:pgMar w:top="1440" w:right="1800" w:bottom="1440" w:left="1800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kern w:val="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示範·語詞彙釋（多論文聚合，模仿徐碩硕士論文範式）</dc:title>
  <dc:creator>语词汇释生成器</dc:creator>
  <cp:lastModifiedBy>Un-named</cp:lastModifiedBy>
  <cp:revision>1</cp:revision>
  <dcterms:created xsi:type="dcterms:W3CDTF">2026-05-20T07:56:39.688Z</dcterms:created>
  <dcterms:modified xsi:type="dcterms:W3CDTF">2026-05-20T07:56:39.688Z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