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120"/>
        <w:ind w:firstLine="0"/>
        <w:jc w:val="center"/>
      </w:pPr>
      <w:r>
        <w:rPr>
          <w:rFonts w:ascii="Times New Roman" w:hAnsi="Times New Roman" w:eastAsia="Times New Roman"/>
          <w:b/>
          <w:i w:val="0"/>
          <w:sz w:val="26"/>
        </w:rPr>
        <w:t>UNIVERSITATEA DE STAT DE MEDICINĂ ȘI FARMACIE</w:t>
      </w:r>
    </w:p>
    <w:p>
      <w:pPr>
        <w:spacing w:line="240" w:lineRule="auto" w:after="200" w:before="0"/>
        <w:ind w:firstLine="0"/>
        <w:jc w:val="center"/>
      </w:pPr>
      <w:r>
        <w:rPr>
          <w:rFonts w:ascii="Times New Roman" w:hAnsi="Times New Roman" w:eastAsia="Times New Roman"/>
          <w:b/>
          <w:i w:val="0"/>
          <w:sz w:val="26"/>
        </w:rPr>
        <w:t>„NICOLAE TESTEMIȚANU” DIN REPUBLICA MOLDOVA</w:t>
      </w:r>
    </w:p>
    <w:p>
      <w:pPr>
        <w:spacing w:line="240" w:lineRule="auto" w:after="0" w:before="0"/>
        <w:ind w:firstLine="0"/>
        <w:jc w:val="center"/>
      </w:pPr>
      <w:r>
        <w:rPr>
          <w:rFonts w:ascii="Times New Roman" w:hAnsi="Times New Roman" w:eastAsia="Times New Roman"/>
          <w:b/>
          <w:i w:val="0"/>
          <w:sz w:val="26"/>
        </w:rPr>
        <w:t>Departamentul Medicină Preventivă</w:t>
      </w:r>
    </w:p>
    <w:p>
      <w:pPr>
        <w:spacing w:line="240" w:lineRule="auto" w:after="480" w:before="0"/>
        <w:ind w:firstLine="0"/>
        <w:jc w:val="center"/>
      </w:pPr>
      <w:r>
        <w:rPr>
          <w:rFonts w:ascii="Times New Roman" w:hAnsi="Times New Roman" w:eastAsia="Times New Roman"/>
          <w:b/>
          <w:i w:val="0"/>
          <w:sz w:val="26"/>
        </w:rPr>
        <w:t>Disciplina de igienă</w:t>
      </w:r>
    </w:p>
    <w:p>
      <w:pPr>
        <w:spacing w:line="240" w:lineRule="auto" w:after="0"/>
        <w:ind w:firstLine="0"/>
        <w:jc w:val="right"/>
      </w:pPr>
      <w:r>
        <w:rPr>
          <w:rFonts w:ascii="Times New Roman" w:hAnsi="Times New Roman" w:eastAsia="Times New Roman"/>
          <w:b w:val="0"/>
          <w:sz w:val="24"/>
        </w:rPr>
        <w:t>Șef de Disciplină,</w:t>
      </w:r>
    </w:p>
    <w:p>
      <w:pPr>
        <w:spacing w:line="240" w:lineRule="auto" w:after="0"/>
        <w:ind w:firstLine="0"/>
        <w:jc w:val="right"/>
      </w:pPr>
      <w:r>
        <w:rPr>
          <w:rFonts w:ascii="Times New Roman" w:hAnsi="Times New Roman" w:eastAsia="Times New Roman"/>
          <w:b w:val="0"/>
          <w:sz w:val="24"/>
        </w:rPr>
        <w:t>dr. hab. șt. med., conferențiar,</w:t>
      </w:r>
    </w:p>
    <w:p>
      <w:pPr>
        <w:spacing w:line="240" w:lineRule="auto" w:after="0"/>
        <w:ind w:firstLine="0"/>
        <w:jc w:val="right"/>
      </w:pPr>
      <w:r>
        <w:rPr>
          <w:rFonts w:ascii="Times New Roman" w:hAnsi="Times New Roman" w:eastAsia="Times New Roman"/>
          <w:b/>
          <w:sz w:val="24"/>
        </w:rPr>
        <w:t>Sergiu CEBANU</w:t>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0"/>
        <w:ind w:firstLine="0"/>
        <w:jc w:val="center"/>
      </w:pPr>
      <w:r>
        <w:rPr>
          <w:rFonts w:ascii="Times New Roman" w:hAnsi="Times New Roman" w:eastAsia="Times New Roman"/>
          <w:b w:val="0"/>
          <w:i w:val="0"/>
          <w:sz w:val="28"/>
        </w:rPr>
      </w:r>
    </w:p>
    <w:p>
      <w:pPr>
        <w:spacing w:line="240" w:lineRule="auto" w:after="280" w:before="200"/>
        <w:ind w:firstLine="0"/>
        <w:jc w:val="center"/>
      </w:pPr>
      <w:r>
        <w:rPr>
          <w:rFonts w:ascii="Times New Roman" w:hAnsi="Times New Roman" w:eastAsia="Times New Roman"/>
          <w:b/>
          <w:i w:val="0"/>
          <w:sz w:val="36"/>
        </w:rPr>
        <w:t>REFERAT</w:t>
      </w:r>
    </w:p>
    <w:p>
      <w:pPr>
        <w:spacing w:line="240" w:lineRule="auto" w:after="0" w:before="0"/>
        <w:ind w:firstLine="0"/>
        <w:jc w:val="center"/>
      </w:pPr>
      <w:r>
        <w:rPr>
          <w:rFonts w:ascii="Times New Roman" w:hAnsi="Times New Roman" w:eastAsia="Times New Roman"/>
          <w:b/>
          <w:i w:val="0"/>
          <w:sz w:val="30"/>
        </w:rPr>
        <w:t>„Factorii igienici de dezvoltare a tuberculozei pulmonare.</w:t>
      </w:r>
    </w:p>
    <w:p>
      <w:pPr>
        <w:spacing w:line="240" w:lineRule="auto" w:after="0" w:before="0"/>
        <w:ind w:firstLine="0"/>
        <w:jc w:val="center"/>
      </w:pPr>
      <w:r>
        <w:rPr>
          <w:rFonts w:ascii="Times New Roman" w:hAnsi="Times New Roman" w:eastAsia="Times New Roman"/>
          <w:b/>
          <w:i w:val="0"/>
          <w:sz w:val="30"/>
        </w:rPr>
        <w:t>Epidemiologie. Indicii morbidității în Republica Moldova.</w:t>
      </w:r>
    </w:p>
    <w:p>
      <w:pPr>
        <w:spacing w:line="240" w:lineRule="auto" w:after="560" w:before="0"/>
        <w:ind w:firstLine="0"/>
        <w:jc w:val="center"/>
      </w:pPr>
      <w:r>
        <w:rPr>
          <w:rFonts w:ascii="Times New Roman" w:hAnsi="Times New Roman" w:eastAsia="Times New Roman"/>
          <w:b/>
          <w:i w:val="0"/>
          <w:sz w:val="30"/>
        </w:rPr>
        <w:t>Măsuri eficiente de depistare precoce și profilaxare”</w:t>
      </w:r>
    </w:p>
    <w:p>
      <w:pPr>
        <w:spacing w:after="0"/>
        <w:ind w:firstLine="0"/>
        <w:jc w:val="right"/>
      </w:pPr>
      <w:r>
        <w:rPr>
          <w:rFonts w:ascii="Times New Roman" w:hAnsi="Times New Roman"/>
          <w:b/>
          <w:sz w:val="24"/>
        </w:rPr>
        <w:t>Elaborat: Popa Emi Antonela</w:t>
      </w:r>
    </w:p>
    <w:p>
      <w:pPr>
        <w:spacing w:line="240" w:lineRule="auto" w:after="0"/>
        <w:ind w:firstLine="0"/>
        <w:jc w:val="right"/>
      </w:pPr>
      <w:r>
        <w:rPr>
          <w:rFonts w:ascii="Times New Roman" w:hAnsi="Times New Roman" w:eastAsia="Times New Roman"/>
          <w:b w:val="0"/>
          <w:sz w:val="24"/>
        </w:rPr>
        <w:t>studentă, anul II, grupa M2521</w:t>
      </w:r>
    </w:p>
    <w:p>
      <w:pPr>
        <w:spacing w:line="240" w:lineRule="auto" w:after="0"/>
        <w:ind w:firstLine="0"/>
        <w:jc w:val="right"/>
      </w:pPr>
      <w:r>
        <w:rPr>
          <w:rFonts w:ascii="Times New Roman" w:hAnsi="Times New Roman" w:eastAsia="Times New Roman"/>
          <w:b w:val="0"/>
          <w:sz w:val="24"/>
        </w:rPr>
        <w:t>Facultatea de Medicină</w:t>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0"/>
        <w:ind w:firstLine="0"/>
        <w:jc w:val="center"/>
      </w:pPr>
      <w:r>
        <w:rPr>
          <w:rFonts w:ascii="Times New Roman" w:hAnsi="Times New Roman" w:eastAsia="Times New Roman"/>
          <w:b w:val="0"/>
          <w:i w:val="0"/>
          <w:sz w:val="28"/>
        </w:rPr>
      </w:r>
    </w:p>
    <w:p>
      <w:pPr>
        <w:spacing w:line="240" w:lineRule="auto" w:after="0"/>
        <w:ind w:firstLine="0"/>
        <w:jc w:val="right"/>
      </w:pPr>
      <w:r>
        <w:rPr>
          <w:rFonts w:ascii="Times New Roman" w:hAnsi="Times New Roman" w:eastAsia="Times New Roman"/>
          <w:b/>
          <w:sz w:val="24"/>
        </w:rPr>
        <w:t>Controlat: Aliona SERBULENCO</w:t>
      </w:r>
    </w:p>
    <w:p>
      <w:pPr>
        <w:spacing w:line="240" w:lineRule="auto" w:after="0"/>
        <w:ind w:firstLine="0"/>
        <w:jc w:val="right"/>
      </w:pPr>
      <w:r>
        <w:rPr>
          <w:rFonts w:ascii="Times New Roman" w:hAnsi="Times New Roman" w:eastAsia="Times New Roman"/>
          <w:b w:val="0"/>
          <w:sz w:val="24"/>
        </w:rPr>
        <w:t>Doctor în științe medicale,</w:t>
      </w:r>
    </w:p>
    <w:p>
      <w:pPr>
        <w:spacing w:line="240" w:lineRule="auto" w:after="0"/>
        <w:ind w:firstLine="0"/>
        <w:jc w:val="right"/>
      </w:pPr>
      <w:r>
        <w:rPr>
          <w:rFonts w:ascii="Times New Roman" w:hAnsi="Times New Roman" w:eastAsia="Times New Roman"/>
          <w:b w:val="0"/>
          <w:sz w:val="24"/>
        </w:rPr>
        <w:t>Conferențiar universitar</w:t>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0"/>
        <w:ind w:firstLine="0"/>
        <w:jc w:val="center"/>
      </w:pPr>
      <w:r>
        <w:rPr>
          <w:rFonts w:ascii="Times New Roman" w:hAnsi="Times New Roman" w:eastAsia="Times New Roman"/>
          <w:b w:val="0"/>
          <w:i w:val="0"/>
          <w:sz w:val="28"/>
        </w:rPr>
      </w:r>
    </w:p>
    <w:p>
      <w:pPr>
        <w:spacing w:line="240" w:lineRule="auto" w:after="0" w:before="360"/>
        <w:ind w:firstLine="0"/>
        <w:jc w:val="center"/>
      </w:pPr>
      <w:r>
        <w:rPr>
          <w:rFonts w:ascii="Times New Roman" w:hAnsi="Times New Roman" w:eastAsia="Times New Roman"/>
          <w:b/>
          <w:i w:val="0"/>
          <w:sz w:val="26"/>
        </w:rPr>
        <w:t>CHIȘINĂU, 2026</w:t>
      </w:r>
    </w:p>
    <w:p>
      <w:r>
        <w:br w:type="page"/>
      </w:r>
    </w:p>
    <w:p>
      <w:pPr>
        <w:keepNext/>
        <w:spacing w:line="240" w:lineRule="auto" w:before="240" w:after="120"/>
        <w:ind w:firstLine="0"/>
        <w:jc w:val="center"/>
      </w:pPr>
      <w:r>
        <w:rPr>
          <w:rFonts w:ascii="Times New Roman" w:hAnsi="Times New Roman" w:eastAsia="Times New Roman"/>
          <w:b/>
          <w:sz w:val="28"/>
        </w:rPr>
        <w:t>CUPRINS</w:t>
      </w:r>
    </w:p>
    <w:p>
      <w:pPr>
        <w:tabs>
          <w:tab w:pos="9354" w:val="right" w:leader="dot"/>
        </w:tabs>
        <w:spacing w:line="240" w:lineRule="auto" w:after="80"/>
        <w:ind w:firstLine="0" w:left="0"/>
        <w:jc w:val="left"/>
      </w:pPr>
      <w:r>
        <w:rPr>
          <w:rFonts w:ascii="Times New Roman" w:hAnsi="Times New Roman"/>
          <w:sz w:val="28"/>
        </w:rPr>
        <w:t>LISTA ABREVIERILOR</w:t>
        <w:tab/>
        <w:t>3</w:t>
      </w:r>
    </w:p>
    <w:p>
      <w:pPr>
        <w:tabs>
          <w:tab w:pos="9354" w:val="right" w:leader="dot"/>
        </w:tabs>
        <w:spacing w:line="240" w:lineRule="auto" w:after="80"/>
        <w:ind w:firstLine="0" w:left="0"/>
        <w:jc w:val="left"/>
      </w:pPr>
      <w:r>
        <w:rPr>
          <w:rFonts w:ascii="Times New Roman" w:hAnsi="Times New Roman"/>
          <w:sz w:val="28"/>
        </w:rPr>
        <w:t>INTRODUCERE</w:t>
        <w:tab/>
        <w:t>4</w:t>
      </w:r>
    </w:p>
    <w:p>
      <w:pPr>
        <w:tabs>
          <w:tab w:pos="9354" w:val="right" w:leader="dot"/>
        </w:tabs>
        <w:spacing w:line="240" w:lineRule="auto" w:after="80"/>
        <w:ind w:firstLine="0" w:left="0"/>
        <w:jc w:val="left"/>
      </w:pPr>
      <w:r>
        <w:rPr>
          <w:rFonts w:ascii="Times New Roman" w:hAnsi="Times New Roman"/>
          <w:sz w:val="28"/>
        </w:rPr>
        <w:t>CAPITOLUL I. Noțiuni generale despre tuberculoza pulmonară</w:t>
        <w:tab/>
        <w:t>6</w:t>
      </w:r>
    </w:p>
    <w:p>
      <w:pPr>
        <w:tabs>
          <w:tab w:pos="9354" w:val="right" w:leader="dot"/>
        </w:tabs>
        <w:spacing w:line="240" w:lineRule="auto" w:after="80"/>
        <w:ind w:firstLine="0" w:left="0"/>
        <w:jc w:val="left"/>
      </w:pPr>
      <w:r>
        <w:rPr>
          <w:rFonts w:ascii="Times New Roman" w:hAnsi="Times New Roman"/>
          <w:sz w:val="28"/>
        </w:rPr>
        <w:t>CAPITOLUL II. Factorii igienici care favorizează dezvoltarea și transmiterea tuberculozei pulmonare</w:t>
        <w:tab/>
        <w:t>7</w:t>
      </w:r>
    </w:p>
    <w:p>
      <w:pPr>
        <w:tabs>
          <w:tab w:pos="9354" w:val="right" w:leader="dot"/>
        </w:tabs>
        <w:spacing w:line="240" w:lineRule="auto" w:after="80"/>
        <w:ind w:firstLine="0" w:left="0"/>
        <w:jc w:val="left"/>
      </w:pPr>
      <w:r>
        <w:rPr>
          <w:rFonts w:ascii="Times New Roman" w:hAnsi="Times New Roman"/>
          <w:sz w:val="28"/>
        </w:rPr>
        <w:t>CAPITOLUL III. Epidemiologia tuberculozei pulmonare</w:t>
        <w:tab/>
        <w:t>9</w:t>
      </w:r>
    </w:p>
    <w:p>
      <w:pPr>
        <w:tabs>
          <w:tab w:pos="9354" w:val="right" w:leader="dot"/>
        </w:tabs>
        <w:spacing w:line="240" w:lineRule="auto" w:after="80"/>
        <w:ind w:firstLine="0" w:left="0"/>
        <w:jc w:val="left"/>
      </w:pPr>
      <w:r>
        <w:rPr>
          <w:rFonts w:ascii="Times New Roman" w:hAnsi="Times New Roman"/>
          <w:sz w:val="28"/>
        </w:rPr>
        <w:t>CAPITOLUL IV. Indicii morbidității prin tuberculoză în Republica Moldova</w:t>
        <w:tab/>
        <w:t>11</w:t>
      </w:r>
    </w:p>
    <w:p>
      <w:pPr>
        <w:tabs>
          <w:tab w:pos="9354" w:val="right" w:leader="dot"/>
        </w:tabs>
        <w:spacing w:line="240" w:lineRule="auto" w:after="80"/>
        <w:ind w:firstLine="0" w:left="0"/>
        <w:jc w:val="left"/>
      </w:pPr>
      <w:r>
        <w:rPr>
          <w:rFonts w:ascii="Times New Roman" w:hAnsi="Times New Roman"/>
          <w:sz w:val="28"/>
        </w:rPr>
        <w:t>CAPITOLUL V. Măsuri eficiente de depistare precoce</w:t>
        <w:tab/>
        <w:t>14</w:t>
      </w:r>
    </w:p>
    <w:p>
      <w:pPr>
        <w:tabs>
          <w:tab w:pos="9354" w:val="right" w:leader="dot"/>
        </w:tabs>
        <w:spacing w:line="240" w:lineRule="auto" w:after="80"/>
        <w:ind w:firstLine="0" w:left="0"/>
        <w:jc w:val="left"/>
      </w:pPr>
      <w:r>
        <w:rPr>
          <w:rFonts w:ascii="Times New Roman" w:hAnsi="Times New Roman"/>
          <w:sz w:val="28"/>
        </w:rPr>
        <w:t>CAPITOLUL VI. Măsuri eficiente de profilaxie</w:t>
        <w:tab/>
        <w:t>15</w:t>
      </w:r>
    </w:p>
    <w:p>
      <w:pPr>
        <w:tabs>
          <w:tab w:pos="9354" w:val="right" w:leader="dot"/>
        </w:tabs>
        <w:spacing w:line="240" w:lineRule="auto" w:after="80"/>
        <w:ind w:firstLine="0" w:left="0"/>
        <w:jc w:val="left"/>
      </w:pPr>
      <w:r>
        <w:rPr>
          <w:rFonts w:ascii="Times New Roman" w:hAnsi="Times New Roman"/>
          <w:sz w:val="28"/>
        </w:rPr>
        <w:t>CONCLUZII</w:t>
        <w:tab/>
        <w:t>17</w:t>
      </w:r>
    </w:p>
    <w:p>
      <w:pPr>
        <w:tabs>
          <w:tab w:pos="9354" w:val="right" w:leader="dot"/>
        </w:tabs>
        <w:spacing w:line="240" w:lineRule="auto" w:after="80"/>
        <w:ind w:firstLine="0" w:left="0"/>
        <w:jc w:val="left"/>
      </w:pPr>
      <w:r>
        <w:rPr>
          <w:rFonts w:ascii="Times New Roman" w:hAnsi="Times New Roman"/>
          <w:sz w:val="28"/>
        </w:rPr>
        <w:t>RECOMANDĂRI PRACTICE</w:t>
        <w:tab/>
        <w:t>18</w:t>
      </w:r>
    </w:p>
    <w:p>
      <w:pPr>
        <w:tabs>
          <w:tab w:pos="9354" w:val="right" w:leader="dot"/>
        </w:tabs>
        <w:spacing w:line="240" w:lineRule="auto" w:after="80"/>
        <w:ind w:firstLine="0" w:left="0"/>
        <w:jc w:val="left"/>
      </w:pPr>
      <w:r>
        <w:rPr>
          <w:rFonts w:ascii="Times New Roman" w:hAnsi="Times New Roman"/>
          <w:sz w:val="28"/>
        </w:rPr>
        <w:t>BIBLIOGRAFIE</w:t>
        <w:tab/>
        <w:t>19</w:t>
      </w:r>
    </w:p>
    <w:p>
      <w:r>
        <w:br w:type="page"/>
      </w:r>
    </w:p>
    <w:p>
      <w:pPr>
        <w:keepNext/>
        <w:spacing w:line="240" w:lineRule="auto" w:before="240" w:after="120"/>
        <w:ind w:firstLine="0"/>
        <w:jc w:val="center"/>
      </w:pPr>
      <w:r>
        <w:rPr>
          <w:rFonts w:ascii="Times New Roman" w:hAnsi="Times New Roman" w:eastAsia="Times New Roman"/>
          <w:b/>
          <w:sz w:val="28"/>
        </w:rPr>
        <w:t>LISTA ABREVIERILOR</w:t>
      </w:r>
    </w:p>
    <w:p>
      <w:pPr>
        <w:spacing w:line="240" w:lineRule="auto" w:after="0"/>
        <w:ind w:firstLine="0"/>
        <w:jc w:val="left"/>
      </w:pPr>
      <w:r>
        <w:rPr>
          <w:rFonts w:ascii="Times New Roman" w:hAnsi="Times New Roman"/>
          <w:b/>
          <w:sz w:val="28"/>
        </w:rPr>
        <w:t xml:space="preserve">ANSP – </w:t>
      </w:r>
      <w:r>
        <w:rPr>
          <w:rFonts w:ascii="Times New Roman" w:hAnsi="Times New Roman"/>
          <w:sz w:val="28"/>
        </w:rPr>
        <w:t>Agenția Națională pentru Sănătate Publică</w:t>
      </w:r>
    </w:p>
    <w:p>
      <w:pPr>
        <w:spacing w:line="240" w:lineRule="auto" w:after="0"/>
        <w:ind w:firstLine="0"/>
        <w:jc w:val="left"/>
      </w:pPr>
      <w:r>
        <w:rPr>
          <w:rFonts w:ascii="Times New Roman" w:hAnsi="Times New Roman"/>
          <w:b/>
          <w:sz w:val="28"/>
        </w:rPr>
        <w:t xml:space="preserve">BAAR – </w:t>
      </w:r>
      <w:r>
        <w:rPr>
          <w:rFonts w:ascii="Times New Roman" w:hAnsi="Times New Roman"/>
          <w:sz w:val="28"/>
        </w:rPr>
        <w:t>bacil acid-alcoolo-rezistent</w:t>
      </w:r>
    </w:p>
    <w:p>
      <w:pPr>
        <w:spacing w:line="240" w:lineRule="auto" w:after="0"/>
        <w:ind w:firstLine="0"/>
        <w:jc w:val="left"/>
      </w:pPr>
      <w:r>
        <w:rPr>
          <w:rFonts w:ascii="Times New Roman" w:hAnsi="Times New Roman"/>
          <w:b/>
          <w:sz w:val="28"/>
        </w:rPr>
        <w:t xml:space="preserve">BCG – </w:t>
      </w:r>
      <w:r>
        <w:rPr>
          <w:rFonts w:ascii="Times New Roman" w:hAnsi="Times New Roman"/>
          <w:sz w:val="28"/>
        </w:rPr>
        <w:t>Bacillus Calmette-Guérin (vaccinul antituberculos)</w:t>
      </w:r>
    </w:p>
    <w:p>
      <w:pPr>
        <w:spacing w:line="240" w:lineRule="auto" w:after="0"/>
        <w:ind w:firstLine="0"/>
        <w:jc w:val="left"/>
      </w:pPr>
      <w:r>
        <w:rPr>
          <w:rFonts w:ascii="Times New Roman" w:hAnsi="Times New Roman"/>
          <w:b/>
          <w:sz w:val="28"/>
        </w:rPr>
        <w:t xml:space="preserve">BK – </w:t>
      </w:r>
      <w:r>
        <w:rPr>
          <w:rFonts w:ascii="Times New Roman" w:hAnsi="Times New Roman"/>
          <w:sz w:val="28"/>
        </w:rPr>
        <w:t>bacilul Koch (Mycobacterium tuberculosis)</w:t>
      </w:r>
    </w:p>
    <w:p>
      <w:pPr>
        <w:spacing w:line="240" w:lineRule="auto" w:after="0"/>
        <w:ind w:firstLine="0"/>
        <w:jc w:val="left"/>
      </w:pPr>
      <w:r>
        <w:rPr>
          <w:rFonts w:ascii="Times New Roman" w:hAnsi="Times New Roman"/>
          <w:b/>
          <w:sz w:val="28"/>
        </w:rPr>
        <w:t xml:space="preserve">CNAM – </w:t>
      </w:r>
      <w:r>
        <w:rPr>
          <w:rFonts w:ascii="Times New Roman" w:hAnsi="Times New Roman"/>
          <w:sz w:val="28"/>
        </w:rPr>
        <w:t>Compania Națională de Asigurări în Medicină</w:t>
      </w:r>
    </w:p>
    <w:p>
      <w:pPr>
        <w:spacing w:line="240" w:lineRule="auto" w:after="0"/>
        <w:ind w:firstLine="0"/>
        <w:jc w:val="left"/>
      </w:pPr>
      <w:r>
        <w:rPr>
          <w:rFonts w:ascii="Times New Roman" w:hAnsi="Times New Roman"/>
          <w:b/>
          <w:sz w:val="28"/>
        </w:rPr>
        <w:t xml:space="preserve">DOT – </w:t>
      </w:r>
      <w:r>
        <w:rPr>
          <w:rFonts w:ascii="Times New Roman" w:hAnsi="Times New Roman"/>
          <w:sz w:val="28"/>
        </w:rPr>
        <w:t>tratament sub directă observare (directly observed treatment)</w:t>
      </w:r>
    </w:p>
    <w:p>
      <w:pPr>
        <w:spacing w:line="240" w:lineRule="auto" w:after="0"/>
        <w:ind w:firstLine="0"/>
        <w:jc w:val="left"/>
      </w:pPr>
      <w:r>
        <w:rPr>
          <w:rFonts w:ascii="Times New Roman" w:hAnsi="Times New Roman"/>
          <w:b/>
          <w:sz w:val="28"/>
        </w:rPr>
        <w:t xml:space="preserve">ECDC – </w:t>
      </w:r>
      <w:r>
        <w:rPr>
          <w:rFonts w:ascii="Times New Roman" w:hAnsi="Times New Roman"/>
          <w:sz w:val="28"/>
        </w:rPr>
        <w:t>Centrul European de Prevenire și Control al Bolilor</w:t>
      </w:r>
    </w:p>
    <w:p>
      <w:pPr>
        <w:spacing w:line="240" w:lineRule="auto" w:after="0"/>
        <w:ind w:firstLine="0"/>
        <w:jc w:val="left"/>
      </w:pPr>
      <w:r>
        <w:rPr>
          <w:rFonts w:ascii="Times New Roman" w:hAnsi="Times New Roman"/>
          <w:b/>
          <w:sz w:val="28"/>
        </w:rPr>
        <w:t xml:space="preserve">HIV – </w:t>
      </w:r>
      <w:r>
        <w:rPr>
          <w:rFonts w:ascii="Times New Roman" w:hAnsi="Times New Roman"/>
          <w:sz w:val="28"/>
        </w:rPr>
        <w:t>virusul imunodeficienței umane</w:t>
      </w:r>
    </w:p>
    <w:p>
      <w:pPr>
        <w:spacing w:line="240" w:lineRule="auto" w:after="0"/>
        <w:ind w:firstLine="0"/>
        <w:jc w:val="left"/>
      </w:pPr>
      <w:r>
        <w:rPr>
          <w:rFonts w:ascii="Times New Roman" w:hAnsi="Times New Roman"/>
          <w:b/>
          <w:sz w:val="28"/>
        </w:rPr>
        <w:t xml:space="preserve">IGRA – </w:t>
      </w:r>
      <w:r>
        <w:rPr>
          <w:rFonts w:ascii="Times New Roman" w:hAnsi="Times New Roman"/>
          <w:sz w:val="28"/>
        </w:rPr>
        <w:t>test de eliberare a interferonului gamma</w:t>
      </w:r>
    </w:p>
    <w:p>
      <w:pPr>
        <w:spacing w:line="240" w:lineRule="auto" w:after="0"/>
        <w:ind w:firstLine="0"/>
        <w:jc w:val="left"/>
      </w:pPr>
      <w:r>
        <w:rPr>
          <w:rFonts w:ascii="Times New Roman" w:hAnsi="Times New Roman"/>
          <w:b/>
          <w:sz w:val="28"/>
        </w:rPr>
        <w:t xml:space="preserve">MDR-TB – </w:t>
      </w:r>
      <w:r>
        <w:rPr>
          <w:rFonts w:ascii="Times New Roman" w:hAnsi="Times New Roman"/>
          <w:sz w:val="28"/>
        </w:rPr>
        <w:t>tuberculoză multidrogrezistentă</w:t>
      </w:r>
    </w:p>
    <w:p>
      <w:pPr>
        <w:spacing w:line="240" w:lineRule="auto" w:after="0"/>
        <w:ind w:firstLine="0"/>
        <w:jc w:val="left"/>
      </w:pPr>
      <w:r>
        <w:rPr>
          <w:rFonts w:ascii="Times New Roman" w:hAnsi="Times New Roman"/>
          <w:b/>
          <w:sz w:val="28"/>
        </w:rPr>
        <w:t xml:space="preserve">OMS – </w:t>
      </w:r>
      <w:r>
        <w:rPr>
          <w:rFonts w:ascii="Times New Roman" w:hAnsi="Times New Roman"/>
          <w:sz w:val="28"/>
        </w:rPr>
        <w:t>Organizația Mondială a Sănătății</w:t>
      </w:r>
    </w:p>
    <w:p>
      <w:pPr>
        <w:spacing w:line="240" w:lineRule="auto" w:after="0"/>
        <w:ind w:firstLine="0"/>
        <w:jc w:val="left"/>
      </w:pPr>
      <w:r>
        <w:rPr>
          <w:rFonts w:ascii="Times New Roman" w:hAnsi="Times New Roman"/>
          <w:b/>
          <w:sz w:val="28"/>
        </w:rPr>
        <w:t xml:space="preserve">PNRT – </w:t>
      </w:r>
      <w:r>
        <w:rPr>
          <w:rFonts w:ascii="Times New Roman" w:hAnsi="Times New Roman"/>
          <w:sz w:val="28"/>
        </w:rPr>
        <w:t>Programul Național de Răspuns la Tuberculoză</w:t>
      </w:r>
    </w:p>
    <w:p>
      <w:pPr>
        <w:spacing w:line="240" w:lineRule="auto" w:after="0"/>
        <w:ind w:firstLine="0"/>
        <w:jc w:val="left"/>
      </w:pPr>
      <w:r>
        <w:rPr>
          <w:rFonts w:ascii="Times New Roman" w:hAnsi="Times New Roman"/>
          <w:b/>
          <w:sz w:val="28"/>
        </w:rPr>
        <w:t xml:space="preserve">RR-TB – </w:t>
      </w:r>
      <w:r>
        <w:rPr>
          <w:rFonts w:ascii="Times New Roman" w:hAnsi="Times New Roman"/>
          <w:sz w:val="28"/>
        </w:rPr>
        <w:t>tuberculoză rezistentă la rifampicină</w:t>
      </w:r>
    </w:p>
    <w:p>
      <w:pPr>
        <w:spacing w:line="240" w:lineRule="auto" w:after="0"/>
        <w:ind w:firstLine="0"/>
        <w:jc w:val="left"/>
      </w:pPr>
      <w:r>
        <w:rPr>
          <w:rFonts w:ascii="Times New Roman" w:hAnsi="Times New Roman"/>
          <w:b/>
          <w:sz w:val="28"/>
        </w:rPr>
        <w:t xml:space="preserve">SI METB – </w:t>
      </w:r>
      <w:r>
        <w:rPr>
          <w:rFonts w:ascii="Times New Roman" w:hAnsi="Times New Roman"/>
          <w:sz w:val="28"/>
        </w:rPr>
        <w:t>Sistemul informațional „Monitorizarea și evaluarea tuberculozei”</w:t>
      </w:r>
    </w:p>
    <w:p>
      <w:pPr>
        <w:spacing w:line="240" w:lineRule="auto" w:after="0"/>
        <w:ind w:firstLine="0"/>
        <w:jc w:val="left"/>
      </w:pPr>
      <w:r>
        <w:rPr>
          <w:rFonts w:ascii="Times New Roman" w:hAnsi="Times New Roman"/>
          <w:b/>
          <w:sz w:val="28"/>
        </w:rPr>
        <w:t xml:space="preserve">TB – </w:t>
      </w:r>
      <w:r>
        <w:rPr>
          <w:rFonts w:ascii="Times New Roman" w:hAnsi="Times New Roman"/>
          <w:sz w:val="28"/>
        </w:rPr>
        <w:t>tuberculoză</w:t>
      </w:r>
    </w:p>
    <w:p>
      <w:pPr>
        <w:spacing w:line="240" w:lineRule="auto" w:after="0"/>
        <w:ind w:firstLine="0"/>
        <w:jc w:val="left"/>
      </w:pPr>
      <w:r>
        <w:rPr>
          <w:rFonts w:ascii="Times New Roman" w:hAnsi="Times New Roman"/>
          <w:b/>
          <w:sz w:val="28"/>
        </w:rPr>
        <w:t xml:space="preserve">TCT – </w:t>
      </w:r>
      <w:r>
        <w:rPr>
          <w:rFonts w:ascii="Times New Roman" w:hAnsi="Times New Roman"/>
          <w:sz w:val="28"/>
        </w:rPr>
        <w:t>test cutanat la tuberculină</w:t>
      </w:r>
    </w:p>
    <w:p>
      <w:pPr>
        <w:spacing w:line="240" w:lineRule="auto" w:after="0"/>
        <w:ind w:firstLine="0"/>
        <w:jc w:val="left"/>
      </w:pPr>
      <w:r>
        <w:rPr>
          <w:rFonts w:ascii="Times New Roman" w:hAnsi="Times New Roman"/>
          <w:b/>
          <w:sz w:val="28"/>
        </w:rPr>
        <w:t xml:space="preserve">VST – </w:t>
      </w:r>
      <w:r>
        <w:rPr>
          <w:rFonts w:ascii="Times New Roman" w:hAnsi="Times New Roman"/>
          <w:sz w:val="28"/>
        </w:rPr>
        <w:t>tratament videoasistat (video-supported treatment)</w:t>
      </w:r>
    </w:p>
    <w:p>
      <w:pPr>
        <w:spacing w:line="240" w:lineRule="auto" w:after="0"/>
        <w:ind w:firstLine="0"/>
        <w:jc w:val="left"/>
      </w:pPr>
      <w:r>
        <w:rPr>
          <w:rFonts w:ascii="Times New Roman" w:hAnsi="Times New Roman"/>
          <w:b/>
          <w:sz w:val="28"/>
        </w:rPr>
        <w:t xml:space="preserve">XDR-TB – </w:t>
      </w:r>
      <w:r>
        <w:rPr>
          <w:rFonts w:ascii="Times New Roman" w:hAnsi="Times New Roman"/>
          <w:sz w:val="28"/>
        </w:rPr>
        <w:t>tuberculoză extensiv drogrezistentă</w:t>
      </w:r>
    </w:p>
    <w:p>
      <w:r>
        <w:br w:type="page"/>
      </w:r>
    </w:p>
    <w:p>
      <w:pPr>
        <w:keepNext/>
        <w:spacing w:line="240" w:lineRule="auto" w:before="240" w:after="120"/>
        <w:ind w:firstLine="0"/>
        <w:jc w:val="center"/>
      </w:pPr>
      <w:r>
        <w:rPr>
          <w:rFonts w:ascii="Times New Roman" w:hAnsi="Times New Roman" w:eastAsia="Times New Roman"/>
          <w:b/>
          <w:sz w:val="28"/>
        </w:rPr>
        <w:t>INTRODUCERE</w:t>
      </w:r>
    </w:p>
    <w:p>
      <w:pPr>
        <w:spacing w:line="240" w:lineRule="auto" w:after="0" w:before="0"/>
        <w:ind w:firstLine="709"/>
        <w:jc w:val="both"/>
      </w:pPr>
      <w:r>
        <w:rPr>
          <w:rFonts w:ascii="Times New Roman" w:hAnsi="Times New Roman" w:eastAsia="Times New Roman"/>
          <w:b w:val="0"/>
          <w:i w:val="0"/>
          <w:sz w:val="28"/>
        </w:rPr>
        <w:t>Tuberculoza (TB) rămâne, la începutul celui de-al treilea deceniu al secolului al XXI-lea, una dintre cele mai importante probleme de sănătate publică la nivel mondial, fiind din nou, în anul 2024, principala cauză de deces provocată de un singur agent infecțios (OMS, 2025). În pofida faptului că tuberculoza este o boală prevenibilă și curabilă, aceasta continuă să afecteze milioane de oameni în fiecare an, cu precădere în rândul populațiilor vulnerabile și al persoanelor expuse unor condiții de viață și de igienă precare.</w:t>
      </w:r>
    </w:p>
    <w:p>
      <w:pPr>
        <w:spacing w:line="240" w:lineRule="auto" w:after="0" w:before="0"/>
        <w:ind w:firstLine="709"/>
        <w:jc w:val="both"/>
      </w:pPr>
      <w:r>
        <w:rPr>
          <w:rFonts w:ascii="Times New Roman" w:hAnsi="Times New Roman" w:eastAsia="Times New Roman"/>
          <w:b w:val="0"/>
          <w:i w:val="0"/>
          <w:sz w:val="28"/>
        </w:rPr>
        <w:t>Actualitatea temei este determinată de constatarea că, deși Mycobacterium tuberculosis este cunoscut de peste un secol și există mijloace eficiente de diagnostic și tratament, povara bolii se menține ridicată, iar distribuția ei este profund inegală din punct de vedere social. Tuberculoza este, prin excelență, o boală a determinantelor sociale și igienice: supraaglomerarea locativă, ventilația deficitară, subnutriția, sărăcia și accesul limitat la servicii medicale creează condițiile în care agentul patogen se transmite și progresează spre boală activă (Duarte R. et al., 2018). Studierea factorilor igienici de dezvoltare a tuberculozei pulmonare se încadrează astfel direct în domeniul igienei și al medicinei preventive, oferind baza pentru intervenții care previn transmiterea bolii înainte de apariția cazurilor.</w:t>
      </w:r>
    </w:p>
    <w:p>
      <w:pPr>
        <w:spacing w:line="240" w:lineRule="auto" w:after="0" w:before="0"/>
        <w:ind w:firstLine="709"/>
        <w:jc w:val="both"/>
      </w:pPr>
      <w:r>
        <w:rPr>
          <w:rFonts w:ascii="Times New Roman" w:hAnsi="Times New Roman" w:eastAsia="Times New Roman"/>
          <w:b w:val="0"/>
          <w:i w:val="0"/>
          <w:sz w:val="28"/>
        </w:rPr>
        <w:t>Pentru Republica Moldova, tema prezintă o relevanță deosebită. Țara se numără printre statele Regiunii Europene a OMS cu o povară semnificativă a tuberculozei, în special a formelor rezistente la medicamente, chiar dacă ultimii ani au adus o reducere constantă a indicatorilor de morbiditate și mortalitate (Guvernul Republicii Moldova, 2026). Înțelegerea factorilor care favorizează apariția bolii, a situației epidemiologice reale și a măsurilor eficiente de depistare precoce și de profilaxie este esențială pentru viitorii medici, indiferent de specialitatea aleasă.</w:t>
      </w:r>
    </w:p>
    <w:p>
      <w:pPr>
        <w:spacing w:line="240" w:lineRule="auto" w:after="0" w:before="0"/>
        <w:ind w:firstLine="709"/>
        <w:jc w:val="both"/>
      </w:pPr>
      <w:r>
        <w:rPr>
          <w:rFonts w:ascii="Times New Roman" w:hAnsi="Times New Roman" w:eastAsia="Times New Roman"/>
          <w:b w:val="0"/>
          <w:i w:val="0"/>
          <w:sz w:val="28"/>
        </w:rPr>
        <w:t>Importanța tuberculozei pulmonare pentru sănătatea publică derivă din trei caracteristici esențiale: transmiterea pe cale aeriană, care face ca fiecare caz netratat să reprezinte o sursă de infecție pentru comunitate; evoluția cronică și potențial fatală în absența tratamentului; și legătura strânsă cu inegalitățile sociale, care transformă controlul tuberculozei într-un indicator al echității unui sistem de sănătate. La acestea se adaugă amenințarea tuberculozei rezistente la medicamente, care complică tratamentul, crește costurile și prelungește perioada de contagiozitate.</w:t>
      </w:r>
    </w:p>
    <w:p>
      <w:pPr>
        <w:spacing w:line="240" w:lineRule="auto" w:after="0" w:before="0"/>
        <w:ind w:firstLine="709"/>
        <w:jc w:val="both"/>
      </w:pPr>
      <w:r>
        <w:rPr>
          <w:rFonts w:ascii="Times New Roman" w:hAnsi="Times New Roman" w:eastAsia="Times New Roman"/>
          <w:b w:val="0"/>
          <w:i w:val="0"/>
          <w:sz w:val="28"/>
        </w:rPr>
        <w:t>Scopul prezentului referat este de a analiza, dintr-o perspectivă igienică și de sănătate publică, factorii care favorizează dezvoltarea tuberculozei pulmonare, situația epidemiologică la nivel global, regional și național, indicii morbidității în Republica Moldova, precum și măsurile eficiente de depistare precoce și de profilaxie a bolii.</w:t>
      </w:r>
    </w:p>
    <w:p>
      <w:pPr>
        <w:spacing w:line="240" w:lineRule="auto" w:after="0" w:before="0"/>
        <w:ind w:firstLine="709"/>
        <w:jc w:val="both"/>
      </w:pPr>
      <w:r>
        <w:rPr>
          <w:rFonts w:ascii="Times New Roman" w:hAnsi="Times New Roman" w:eastAsia="Times New Roman"/>
          <w:b w:val="0"/>
          <w:i w:val="0"/>
          <w:sz w:val="28"/>
        </w:rPr>
        <w:t>Pentru atingerea acestui scop au fost formulate următoarele obiective: (1) sistematizarea noțiunilor generale despre tuberculoza pulmonară, agentul etiologic și mecanismele de dezvoltare a bolii; (2) analiza factorilor igienici, sociali și comportamentali care favorizează transmiterea și dezvoltarea tuberculozei; (3) descrierea epidemiologiei tuberculozei la nivel global și în Regiunea Europeană; (4) evaluarea indicilor morbidității prin tuberculoză în Republica Moldova, pe baza celor mai recente date verificabile; (5) prezentarea metodelor eficiente de depistare precoce; și (6) analiza măsurilor de profilaxie și a rolului instituțiilor medicale și al comunității în controlul bolii.</w:t>
      </w:r>
    </w:p>
    <w:p>
      <w:r>
        <w:br w:type="page"/>
      </w:r>
    </w:p>
    <w:p>
      <w:pPr>
        <w:keepNext/>
        <w:spacing w:line="240" w:lineRule="auto" w:before="240" w:after="120"/>
        <w:ind w:firstLine="0"/>
        <w:jc w:val="center"/>
      </w:pPr>
      <w:r>
        <w:rPr>
          <w:rFonts w:ascii="Times New Roman" w:hAnsi="Times New Roman" w:eastAsia="Times New Roman"/>
          <w:b/>
          <w:sz w:val="28"/>
        </w:rPr>
        <w:t>CAPITOLUL I. NOȚIUNI GENERALE DESPRE TUBERCULOZA PULMONARĂ</w:t>
      </w:r>
    </w:p>
    <w:p>
      <w:pPr>
        <w:spacing w:line="240" w:lineRule="auto" w:after="0" w:before="0"/>
        <w:ind w:firstLine="709"/>
        <w:jc w:val="both"/>
      </w:pPr>
      <w:r>
        <w:rPr>
          <w:rFonts w:ascii="Times New Roman" w:hAnsi="Times New Roman" w:eastAsia="Times New Roman"/>
          <w:b w:val="0"/>
          <w:i w:val="0"/>
          <w:sz w:val="28"/>
        </w:rPr>
        <w:t>Tuberculoza este o boală infecțioasă și contagioasă, provocată de bacterii din complexul Mycobacterium tuberculosis, cu afectare preponderent pulmonară, dar care poate interesa practic orice organ. Agentul etiologic principal, Mycobacterium tuberculosis (bacilul Koch, BK), a fost identificat de Robert Koch în anul 1882. Este un bacil acid-alcoolo-rezistent (BAAR), aerob, cu creștere lentă, a cărui particularitate esențială este peretele celular bogat în lipide (acizi micolici), ce îi conferă rezistență la factorii de mediu și la numeroase substanțe, precum și capacitatea de a supraviețui intracelular în macrofage (OMS, 2025).</w:t>
      </w:r>
    </w:p>
    <w:p>
      <w:pPr>
        <w:spacing w:line="240" w:lineRule="auto" w:after="0" w:before="0"/>
        <w:ind w:firstLine="709"/>
        <w:jc w:val="both"/>
      </w:pPr>
      <w:r>
        <w:rPr>
          <w:rFonts w:ascii="Times New Roman" w:hAnsi="Times New Roman" w:eastAsia="Times New Roman"/>
          <w:b w:val="0"/>
          <w:i w:val="0"/>
          <w:sz w:val="28"/>
        </w:rPr>
        <w:t>Transmiterea tuberculozei pulmonare se realizează pe cale aerogenă, prin intermediul particulelor infectante (nuclei de picătură, droplet nuclei) eliminate în aer de o persoană cu tuberculoză pulmonară activă atunci când tușește, strănută, vorbește sau cântă. Aceste particule, cu diametrul de câțiva microni, rămân suspendate în aerul din încăperile slab ventilate timp îndelungat și, odată inhalate, pot ajunge până la nivelul alveolelor pulmonare. Riscul de transmitere depinde de concentrația particulelor infectante în aer, de durata expunerii, de proximitatea față de sursă și de condițiile de ventilație și de iluminare ale spațiului (OMS, 2019). Tuberculoza nu se transmite prin obiecte, alimente sau contact fizic, ceea ce subliniază rolul central al calității aerului interior în prevenirea bolii.</w:t>
      </w:r>
    </w:p>
    <w:p>
      <w:pPr>
        <w:spacing w:line="240" w:lineRule="auto" w:after="0" w:before="0"/>
        <w:ind w:firstLine="709"/>
        <w:jc w:val="both"/>
      </w:pPr>
      <w:r>
        <w:rPr>
          <w:rFonts w:ascii="Times New Roman" w:hAnsi="Times New Roman" w:eastAsia="Times New Roman"/>
          <w:b w:val="0"/>
          <w:i w:val="0"/>
          <w:sz w:val="28"/>
        </w:rPr>
        <w:t>Mecanismul de dezvoltare a bolii parcurge mai multe etape. După inhalare, bacilii ajunși în alveole sunt fagocitați de macrofagele alveolare. La majoritatea persoanelor cu imunitate competentă, răspunsul imun reușește să limiteze multiplicarea bacteriană, formând granuloame în care micobacteriile sunt „sechestrate”, fără a fi însă întotdeauna eliminate. Se instalează astfel infecția tuberculoasă latentă, o stare în care persoana este infectată, dar nu prezintă semne de boală și nu este contagioasă. Se estimează că o parte importantă a populației mondiale găzduiește infecția tuberculoasă latentă, constituind un rezervor din care pot apărea viitoare cazuri de boală (OMS, 2021).</w:t>
      </w:r>
    </w:p>
    <w:p>
      <w:pPr>
        <w:spacing w:line="240" w:lineRule="auto" w:after="0" w:before="0"/>
        <w:ind w:firstLine="709"/>
        <w:jc w:val="both"/>
      </w:pPr>
      <w:r>
        <w:rPr>
          <w:rFonts w:ascii="Times New Roman" w:hAnsi="Times New Roman" w:eastAsia="Times New Roman"/>
          <w:b w:val="0"/>
          <w:i w:val="0"/>
          <w:sz w:val="28"/>
        </w:rPr>
        <w:t>Distincția dintre infecția tuberculoasă latentă și boala tuberculoasă activă este fundamentală pentru înțelegerea epidemiologiei și a profilaxiei. Pe parcursul vieții, o persoană cu infecție latentă și sistem imunitar normal are un risc de aproximativ 5–10% de a dezvolta boala activă, risc care crește considerabil în prezența factorilor care scad imunitatea. Reactivarea sau progresia spre boală activă este favorizată de infecția cu HIV, subnutriție, diabet zaharat, consumul de tutun și de alcool, tratamentele imunosupresoare și vârsta extremă (OMS, 2025). Persoanele care trăiesc cu HIV au un risc de până la 22 de ori mai mare de a dezvolta tuberculoză comparativ cu populația generală (Guvernul Republicii Moldova, 2026). Tocmai această verigă – trecerea de la infecție la boală – constituie punctul în care factorii igienici și sociali își exercită influența cea mai puternică și unde intervențiile preventive pot fi cele mai eficiente.</w:t>
      </w:r>
    </w:p>
    <w:p>
      <w:pPr>
        <w:keepNext/>
        <w:spacing w:line="240" w:lineRule="auto" w:before="240" w:after="120"/>
        <w:ind w:firstLine="0"/>
        <w:jc w:val="center"/>
      </w:pPr>
      <w:r>
        <w:rPr>
          <w:rFonts w:ascii="Times New Roman" w:hAnsi="Times New Roman" w:eastAsia="Times New Roman"/>
          <w:b/>
          <w:sz w:val="28"/>
        </w:rPr>
        <w:t>CAPITOLUL II. FACTORII IGIENICI CARE FAVORIZEAZĂ DEZVOLTAREA ȘI TRANSMITEREA TUBERCULOZEI PULMONARE</w:t>
      </w:r>
    </w:p>
    <w:p>
      <w:pPr>
        <w:spacing w:line="240" w:lineRule="auto" w:after="0" w:before="0"/>
        <w:ind w:firstLine="709"/>
        <w:jc w:val="both"/>
      </w:pPr>
      <w:r>
        <w:rPr>
          <w:rFonts w:ascii="Times New Roman" w:hAnsi="Times New Roman" w:eastAsia="Times New Roman"/>
          <w:b w:val="0"/>
          <w:i w:val="0"/>
          <w:sz w:val="28"/>
        </w:rPr>
        <w:t>Factorii igienici reprezintă acele condiții de mediu, de locuire, de muncă și de comportament care influențează probabilitatea ca o persoană să fie expusă la Mycobacterium tuberculosis și să dezvolte boala. Spre deosebire de factorii strict biologici, aceștia sunt, în mare măsură, modificabili prin măsuri de sănătate publică, ceea ce îi așază în centrul preocupărilor igienei și medicinei preventive. Tuberculoza este recunoscută drept o boală a sărăciei și a inechității sociale, iar factorii igienici acționează adesea cumulat și se potențează reciproc (Duarte R. et al., 2018).</w:t>
      </w:r>
    </w:p>
    <w:p>
      <w:pPr>
        <w:keepNext/>
        <w:spacing w:line="240" w:lineRule="auto" w:before="160" w:after="120"/>
        <w:ind w:firstLine="0"/>
        <w:jc w:val="left"/>
      </w:pPr>
      <w:r>
        <w:rPr>
          <w:rFonts w:ascii="Times New Roman" w:hAnsi="Times New Roman" w:eastAsia="Times New Roman"/>
          <w:b/>
          <w:sz w:val="28"/>
        </w:rPr>
        <w:t>2.1. Condițiile de locuire și supraaglomerarea</w:t>
      </w:r>
    </w:p>
    <w:p>
      <w:pPr>
        <w:spacing w:line="240" w:lineRule="auto" w:after="0" w:before="0"/>
        <w:ind w:firstLine="709"/>
        <w:jc w:val="both"/>
      </w:pPr>
      <w:r>
        <w:rPr>
          <w:rFonts w:ascii="Times New Roman" w:hAnsi="Times New Roman" w:eastAsia="Times New Roman"/>
          <w:b w:val="0"/>
          <w:i w:val="0"/>
          <w:sz w:val="28"/>
        </w:rPr>
        <w:t>Supraaglomerarea locativă este unul dintre cei mai importanți factori de risc pentru transmiterea tuberculozei. În locuințele în care un număr mare de persoane împart un spațiu restrâns, concentrația de particule infectante în aer crește, la fel ca durata și intimitatea contactului cu o eventuală sursă de infecție. Un bolnav cu tuberculoză pulmonară bacilifer poate infecta, în condiții de supraaglomerare și ventilație deficitară, un număr important de persoane din anturajul apropiat, mai ales membrii propriei gospodării. Numărul mediu de contacți per focar la nivelul Republicii Moldova a fost estimat la 12,8 persoane (Ministerul Sănătății, 2025), ceea ce ilustrează potențialul de răspândire în interiorul familiei și al comunității.</w:t>
      </w:r>
    </w:p>
    <w:p>
      <w:pPr>
        <w:keepNext/>
        <w:spacing w:line="240" w:lineRule="auto" w:before="160" w:after="120"/>
        <w:ind w:firstLine="0"/>
        <w:jc w:val="left"/>
      </w:pPr>
      <w:r>
        <w:rPr>
          <w:rFonts w:ascii="Times New Roman" w:hAnsi="Times New Roman" w:eastAsia="Times New Roman"/>
          <w:b/>
          <w:sz w:val="28"/>
        </w:rPr>
        <w:t>2.2. Ventilația și calitatea aerului interior</w:t>
      </w:r>
    </w:p>
    <w:p>
      <w:pPr>
        <w:spacing w:line="240" w:lineRule="auto" w:after="0" w:before="0"/>
        <w:ind w:firstLine="709"/>
        <w:jc w:val="both"/>
      </w:pPr>
      <w:r>
        <w:rPr>
          <w:rFonts w:ascii="Times New Roman" w:hAnsi="Times New Roman" w:eastAsia="Times New Roman"/>
          <w:b w:val="0"/>
          <w:i w:val="0"/>
          <w:sz w:val="28"/>
        </w:rPr>
        <w:t>Ventilația este factorul igienic cu cel mai direct efect asupra riscului de transmitere aeriană. Primenirea aerului dintr-o încăpere diluează și elimină particulele infectante, reducând concentrația acestora și, implicit, probabilitatea de infectare. Spațiile închise, aglomerate și slab ventilate – locuințe improvizate, mijloace de transport în comun, instituții – favorizează acumularea nucleilor de picătură. De aceea, ventilarea naturală prin aerisire regulată și asigurarea unui schimb adecvat de aer reprezintă măsuri simple, dar eficiente, de control al infecției, recomandate explicit în ghidurile internaționale privind prevenirea și controlul infecției tuberculoase (OMS, 2019).</w:t>
      </w:r>
    </w:p>
    <w:p>
      <w:pPr>
        <w:keepNext/>
        <w:spacing w:line="240" w:lineRule="auto" w:before="160" w:after="120"/>
        <w:ind w:firstLine="0"/>
        <w:jc w:val="left"/>
      </w:pPr>
      <w:r>
        <w:rPr>
          <w:rFonts w:ascii="Times New Roman" w:hAnsi="Times New Roman" w:eastAsia="Times New Roman"/>
          <w:b/>
          <w:sz w:val="28"/>
        </w:rPr>
        <w:t>2.3. Iluminarea și expunerea la radiații ultraviolete</w:t>
      </w:r>
    </w:p>
    <w:p>
      <w:pPr>
        <w:spacing w:line="240" w:lineRule="auto" w:after="0" w:before="0"/>
        <w:ind w:firstLine="709"/>
        <w:jc w:val="both"/>
      </w:pPr>
      <w:r>
        <w:rPr>
          <w:rFonts w:ascii="Times New Roman" w:hAnsi="Times New Roman" w:eastAsia="Times New Roman"/>
          <w:b w:val="0"/>
          <w:i w:val="0"/>
          <w:sz w:val="28"/>
        </w:rPr>
        <w:t>Mycobacterium tuberculosis este sensibil la radiațiile ultraviolete, inclusiv la componenta ultravioletă a luminii solare. Expunerea directă la lumina soarelui inactivează bacilii aflați în particulele suspendate în aer, în timp ce spațiile întunecoase și umede le prelungesc supraviețuirea. Din acest motiv, iluminarea naturală adecvată a locuințelor și a instituțiilor are un rol igienic complementar ventilației. În spațiile cu risc crescut, iluminarea ultravioletă germicidă a aerului din partea superioară a încăperilor este utilizată ca măsură de control al infecției. Este important ca acest rol să fie prezentat corect, fără exagerări: lumina solară și radiațiile ultraviolete reduc riscul de transmitere, dar nu înlocuiesc ventilația, diagnosticul precoce și tratamentul.</w:t>
      </w:r>
    </w:p>
    <w:p>
      <w:pPr>
        <w:keepNext/>
        <w:spacing w:line="240" w:lineRule="auto" w:before="160" w:after="120"/>
        <w:ind w:firstLine="0"/>
        <w:jc w:val="left"/>
      </w:pPr>
      <w:r>
        <w:rPr>
          <w:rFonts w:ascii="Times New Roman" w:hAnsi="Times New Roman" w:eastAsia="Times New Roman"/>
          <w:b/>
          <w:sz w:val="28"/>
        </w:rPr>
        <w:t>2.4. Igiena colectivă și condițiile din instituțiile închise</w:t>
      </w:r>
    </w:p>
    <w:p>
      <w:pPr>
        <w:spacing w:line="240" w:lineRule="auto" w:after="0" w:before="0"/>
        <w:ind w:firstLine="709"/>
        <w:jc w:val="both"/>
      </w:pPr>
      <w:r>
        <w:rPr>
          <w:rFonts w:ascii="Times New Roman" w:hAnsi="Times New Roman" w:eastAsia="Times New Roman"/>
          <w:b w:val="0"/>
          <w:i w:val="0"/>
          <w:sz w:val="28"/>
        </w:rPr>
        <w:t>Instituțiile în care persoanele conviețuiesc în spații închise și aglomerate – penitenciarele, aziluri, centrele de plasament, adăposturile pentru persoane fără adăpost – constituie medii cu risc deosebit de ridicat pentru transmiterea tuberculozei. În Republica Moldova, incidența tuberculozei în sistemul penitenciar a scăzut de la 1 353 la 100 000 de persoane în anul 2015 la 575 la 100 000 în anul 2024, dar rămâne de peste 5 ori mai mare decât media națională (Guvernul Republicii Moldova, 2026). Aceste cifre evidențiază cât de puternic influențează condițiile de igienă colectivă riscul de îmbolnăvire și justifică măsurile speciale de screening și control al infecției în instituțiile închise.</w:t>
      </w:r>
    </w:p>
    <w:p>
      <w:pPr>
        <w:keepNext/>
        <w:spacing w:line="240" w:lineRule="auto" w:before="160" w:after="120"/>
        <w:ind w:firstLine="0"/>
        <w:jc w:val="left"/>
      </w:pPr>
      <w:r>
        <w:rPr>
          <w:rFonts w:ascii="Times New Roman" w:hAnsi="Times New Roman" w:eastAsia="Times New Roman"/>
          <w:b/>
          <w:sz w:val="28"/>
        </w:rPr>
        <w:t>2.5. Condițiile de muncă și expunerea profesională</w:t>
      </w:r>
    </w:p>
    <w:p>
      <w:pPr>
        <w:spacing w:line="240" w:lineRule="auto" w:after="0" w:before="0"/>
        <w:ind w:firstLine="709"/>
        <w:jc w:val="both"/>
      </w:pPr>
      <w:r>
        <w:rPr>
          <w:rFonts w:ascii="Times New Roman" w:hAnsi="Times New Roman" w:eastAsia="Times New Roman"/>
          <w:b w:val="0"/>
          <w:i w:val="0"/>
          <w:sz w:val="28"/>
        </w:rPr>
        <w:t>Anumite categorii profesionale sunt expuse unui risc crescut de infectare. Personalul medical, în special cel care lucrează în serviciile de ftiziopneumologie, în laboratoarele de microbiologie sau în secțiile unde se efectuează manevre generatoare de aerosoli, se află în contact frecvent cu surse de infecție. De asemenea, condițiile de muncă în medii cu pulberi (de exemplu, expunerea la siliciu, cu dezvoltarea silicozei) cresc susceptibilitatea plămânului la infecția tuberculoasă. Controlul infecției la locul de muncă, utilizarea echipamentelor de protecție respiratorie și supravegherea medicală periodică a personalului cu risc sunt componente esențiale ale profilaxiei profesionale.</w:t>
      </w:r>
    </w:p>
    <w:p>
      <w:pPr>
        <w:keepNext/>
        <w:spacing w:line="240" w:lineRule="auto" w:before="160" w:after="120"/>
        <w:ind w:firstLine="0"/>
        <w:jc w:val="left"/>
      </w:pPr>
      <w:r>
        <w:rPr>
          <w:rFonts w:ascii="Times New Roman" w:hAnsi="Times New Roman" w:eastAsia="Times New Roman"/>
          <w:b/>
          <w:sz w:val="28"/>
        </w:rPr>
        <w:t>2.6. Igiena personală și comportamentele relevante pentru transmitere</w:t>
      </w:r>
    </w:p>
    <w:p>
      <w:pPr>
        <w:spacing w:line="240" w:lineRule="auto" w:after="0" w:before="0"/>
        <w:ind w:firstLine="709"/>
        <w:jc w:val="both"/>
      </w:pPr>
      <w:r>
        <w:rPr>
          <w:rFonts w:ascii="Times New Roman" w:hAnsi="Times New Roman" w:eastAsia="Times New Roman"/>
          <w:b w:val="0"/>
          <w:i w:val="0"/>
          <w:sz w:val="28"/>
        </w:rPr>
        <w:t>Comportamentele legate de igiena respiratorie influențează direct riscul de transmitere. Acoperirea gurii și a nasului în timpul tusei și al strănutului, utilizarea batistelor de unică folosință, eliminarea igienică a sputei și evitarea spațiilor aglomerate de către persoanele simptomatice reduc dispersia particulelor infectante. Educația pentru igiena respiratorie („eticheta tusei”) constituie o măsură cu cost redus și impact important, mai ales în perioada premergătoare diagnosticului, când bolnavul este cel mai contagios.</w:t>
      </w:r>
    </w:p>
    <w:p>
      <w:pPr>
        <w:keepNext/>
        <w:spacing w:line="240" w:lineRule="auto" w:before="160" w:after="120"/>
        <w:ind w:firstLine="0"/>
        <w:jc w:val="left"/>
      </w:pPr>
      <w:r>
        <w:rPr>
          <w:rFonts w:ascii="Times New Roman" w:hAnsi="Times New Roman" w:eastAsia="Times New Roman"/>
          <w:b/>
          <w:sz w:val="28"/>
        </w:rPr>
        <w:t>2.7. Alimentația deficitară și subnutriția</w:t>
      </w:r>
    </w:p>
    <w:p>
      <w:pPr>
        <w:spacing w:line="240" w:lineRule="auto" w:after="0" w:before="0"/>
        <w:ind w:firstLine="709"/>
        <w:jc w:val="both"/>
      </w:pPr>
      <w:r>
        <w:rPr>
          <w:rFonts w:ascii="Times New Roman" w:hAnsi="Times New Roman" w:eastAsia="Times New Roman"/>
          <w:b w:val="0"/>
          <w:i w:val="0"/>
          <w:sz w:val="28"/>
        </w:rPr>
        <w:t>Subnutriția este atât un factor de risc, cât și o consecință a tuberculozei, cele două întreținându-se reciproc. O alimentație deficitară, săracă în proteine și micronutrienți, slăbește răspunsul imun și crește probabilitatea ca o infecție latentă să progreseze spre boală activă. La nivel mondial, subnutriția este recunoscută drept unul dintre cei cinci determinanți majori ai poverii tuberculozei, alături de infecția cu HIV, diabetul zaharat, fumatul și consumul nociv de alcool (OMS, 2025). În același timp, boala activă, prin consumul energetic crescut și scăderea apetitului, agravează starea de nutriție, ceea ce justifică includerea suportului nutrițional în managementul pacienților.</w:t>
      </w:r>
    </w:p>
    <w:p>
      <w:pPr>
        <w:keepNext/>
        <w:spacing w:line="240" w:lineRule="auto" w:before="160" w:after="120"/>
        <w:ind w:firstLine="0"/>
        <w:jc w:val="left"/>
      </w:pPr>
      <w:r>
        <w:rPr>
          <w:rFonts w:ascii="Times New Roman" w:hAnsi="Times New Roman" w:eastAsia="Times New Roman"/>
          <w:b/>
          <w:sz w:val="28"/>
        </w:rPr>
        <w:t>2.8. Factorii socioeconomici și accesul la servicii medicale</w:t>
      </w:r>
    </w:p>
    <w:p>
      <w:pPr>
        <w:spacing w:line="240" w:lineRule="auto" w:after="0" w:before="0"/>
        <w:ind w:firstLine="709"/>
        <w:jc w:val="both"/>
      </w:pPr>
      <w:r>
        <w:rPr>
          <w:rFonts w:ascii="Times New Roman" w:hAnsi="Times New Roman" w:eastAsia="Times New Roman"/>
          <w:b w:val="0"/>
          <w:i w:val="0"/>
          <w:sz w:val="28"/>
        </w:rPr>
        <w:t>Sărăcia, șomajul, nivelul scăzut de educație și accesul limitat la servicii medicale sunt factori care, deși nu acționează direct asupra transmiterii aeriene, determină în mare măsură distribuția tuberculozei în populație. Aceștia condiționează calitatea locuirii, alimentația, posibilitatea de a solicita îngrijiri medicale la timp și aderența la tratament. Multe gospodării afectate de tuberculoză se confruntă cu costuri catastrofale legate de boală, ceea ce adâncește inegalitățile și întârzie diagnosticul (OMS, 2025). În Republica Moldova, tuberculoza afectează în mod disproporționat persoanele din gospodării cu venituri reduse, persoanele fără adăpost, migranții și consumatorii de droguri (Guvernul Republicii Moldova, 2026).</w:t>
      </w:r>
    </w:p>
    <w:p>
      <w:pPr>
        <w:keepNext/>
        <w:spacing w:line="240" w:lineRule="auto" w:before="160" w:after="120"/>
        <w:ind w:firstLine="0"/>
        <w:jc w:val="left"/>
      </w:pPr>
      <w:r>
        <w:rPr>
          <w:rFonts w:ascii="Times New Roman" w:hAnsi="Times New Roman" w:eastAsia="Times New Roman"/>
          <w:b/>
          <w:sz w:val="28"/>
        </w:rPr>
        <w:t>2.9. Interacțiunea dintre factorii igienici, sociali și biologici</w:t>
      </w:r>
    </w:p>
    <w:p>
      <w:pPr>
        <w:spacing w:line="240" w:lineRule="auto" w:after="0" w:before="0"/>
        <w:ind w:firstLine="709"/>
        <w:jc w:val="both"/>
      </w:pPr>
      <w:r>
        <w:rPr>
          <w:rFonts w:ascii="Times New Roman" w:hAnsi="Times New Roman" w:eastAsia="Times New Roman"/>
          <w:b w:val="0"/>
          <w:i w:val="0"/>
          <w:sz w:val="28"/>
        </w:rPr>
        <w:t>Factorii igienici nu acționează izolat, ci se întrepătrund cu cei sociali și biologici, formând un lanț cauzal complex. Sărăcia conduce la locuire supraaglomerată și prost ventilată; aceasta facilitează transmiterea; subnutriția și comorbiditățile (HIV, diabet) cresc riscul de progresie spre boală; iar accesul limitat la servicii întârzie diagnosticul, prelungind perioada de contagiozitate. Înțelegerea acestei interacțiuni explică de ce controlul tuberculozei nu poate fi realizat exclusiv prin mijloace medicale, ci necesită o abordare intersectorială, care să vizeze simultan condițiile de viață, determinanții sociali și accesul echitabil la îngrijiri (Duarte R. et al., 2018). Principalii factori de risc și mecanismele prin care aceștia acționează sunt sintetizați în Tabelul 1.</w:t>
      </w:r>
    </w:p>
    <w:p>
      <w:pPr>
        <w:keepNext/>
        <w:spacing w:line="240" w:lineRule="auto" w:after="40" w:before="0"/>
        <w:ind w:firstLine="0"/>
        <w:jc w:val="center"/>
      </w:pPr>
      <w:r>
        <w:rPr>
          <w:rFonts w:ascii="Times New Roman" w:hAnsi="Times New Roman" w:eastAsia="Times New Roman"/>
          <w:b/>
          <w:i w:val="0"/>
          <w:sz w:val="24"/>
        </w:rPr>
        <w:t>Tabelul 1. Principalii factori igienici și socioeconomici de risc pentru tuberculoza pulmonară și mecanismele de acțiune</w:t>
      </w:r>
    </w:p>
    <w:tbl>
      <w:tblPr>
        <w:tblStyle w:val="TableGrid"/>
        <w:tblW w:type="auto" w:w="0"/>
        <w:jc w:val="center"/>
        <w:tblLook w:firstColumn="1" w:firstRow="1" w:lastColumn="0" w:lastRow="0" w:noHBand="0" w:noVBand="1" w:val="04A0"/>
      </w:tblPr>
      <w:tblGrid>
        <w:gridCol w:w="4677"/>
        <w:gridCol w:w="4677"/>
      </w:tblGrid>
      <w:tr>
        <w:tc>
          <w:tcPr>
            <w:tcW w:type="dxa" w:w="4677"/>
          </w:tcPr>
          <w:p>
            <w:pPr>
              <w:spacing w:line="240" w:lineRule="auto" w:after="0"/>
              <w:ind w:firstLine="0"/>
              <w:jc w:val="center"/>
            </w:pPr>
            <w:r>
              <w:rPr>
                <w:rFonts w:ascii="Times New Roman" w:hAnsi="Times New Roman" w:eastAsia="Times New Roman"/>
                <w:b/>
                <w:sz w:val="24"/>
              </w:rPr>
              <w:t>Factor de risc</w:t>
            </w:r>
          </w:p>
        </w:tc>
        <w:tc>
          <w:tcPr>
            <w:tcW w:type="dxa" w:w="4677"/>
          </w:tcPr>
          <w:p>
            <w:pPr>
              <w:spacing w:line="240" w:lineRule="auto" w:after="0"/>
              <w:ind w:firstLine="0"/>
              <w:jc w:val="center"/>
            </w:pPr>
            <w:r>
              <w:rPr>
                <w:rFonts w:ascii="Times New Roman" w:hAnsi="Times New Roman" w:eastAsia="Times New Roman"/>
                <w:b/>
                <w:sz w:val="24"/>
              </w:rPr>
              <w:t>Mecanismul de acțiune asupra riscului de TB</w:t>
            </w:r>
          </w:p>
        </w:tc>
      </w:tr>
      <w:tr>
        <w:tc>
          <w:tcPr>
            <w:tcW w:type="dxa" w:w="4677"/>
          </w:tcPr>
          <w:p>
            <w:pPr>
              <w:spacing w:line="240" w:lineRule="auto" w:after="0"/>
              <w:ind w:firstLine="0"/>
              <w:jc w:val="left"/>
            </w:pPr>
            <w:r>
              <w:rPr>
                <w:rFonts w:ascii="Times New Roman" w:hAnsi="Times New Roman" w:eastAsia="Times New Roman"/>
                <w:b w:val="0"/>
                <w:sz w:val="24"/>
              </w:rPr>
              <w:t>Supraaglomerarea locativă</w:t>
            </w:r>
          </w:p>
        </w:tc>
        <w:tc>
          <w:tcPr>
            <w:tcW w:type="dxa" w:w="4677"/>
          </w:tcPr>
          <w:p>
            <w:pPr>
              <w:spacing w:line="240" w:lineRule="auto" w:after="0"/>
              <w:ind w:firstLine="0"/>
              <w:jc w:val="left"/>
            </w:pPr>
            <w:r>
              <w:rPr>
                <w:rFonts w:ascii="Times New Roman" w:hAnsi="Times New Roman" w:eastAsia="Times New Roman"/>
                <w:b w:val="0"/>
                <w:sz w:val="24"/>
              </w:rPr>
              <w:t>Crește concentrația particulelor infectante și durata contactului cu sursa</w:t>
            </w:r>
          </w:p>
        </w:tc>
      </w:tr>
      <w:tr>
        <w:tc>
          <w:tcPr>
            <w:tcW w:type="dxa" w:w="4677"/>
          </w:tcPr>
          <w:p>
            <w:pPr>
              <w:spacing w:line="240" w:lineRule="auto" w:after="0"/>
              <w:ind w:firstLine="0"/>
              <w:jc w:val="left"/>
            </w:pPr>
            <w:r>
              <w:rPr>
                <w:rFonts w:ascii="Times New Roman" w:hAnsi="Times New Roman" w:eastAsia="Times New Roman"/>
                <w:b w:val="0"/>
                <w:sz w:val="24"/>
              </w:rPr>
              <w:t>Ventilația deficitară</w:t>
            </w:r>
          </w:p>
        </w:tc>
        <w:tc>
          <w:tcPr>
            <w:tcW w:type="dxa" w:w="4677"/>
          </w:tcPr>
          <w:p>
            <w:pPr>
              <w:spacing w:line="240" w:lineRule="auto" w:after="0"/>
              <w:ind w:firstLine="0"/>
              <w:jc w:val="left"/>
            </w:pPr>
            <w:r>
              <w:rPr>
                <w:rFonts w:ascii="Times New Roman" w:hAnsi="Times New Roman" w:eastAsia="Times New Roman"/>
                <w:b w:val="0"/>
                <w:sz w:val="24"/>
              </w:rPr>
              <w:t>Împiedică diluarea și eliminarea nucleilor de picătură din aerul interior</w:t>
            </w:r>
          </w:p>
        </w:tc>
      </w:tr>
      <w:tr>
        <w:tc>
          <w:tcPr>
            <w:tcW w:type="dxa" w:w="4677"/>
          </w:tcPr>
          <w:p>
            <w:pPr>
              <w:spacing w:line="240" w:lineRule="auto" w:after="0"/>
              <w:ind w:firstLine="0"/>
              <w:jc w:val="left"/>
            </w:pPr>
            <w:r>
              <w:rPr>
                <w:rFonts w:ascii="Times New Roman" w:hAnsi="Times New Roman" w:eastAsia="Times New Roman"/>
                <w:b w:val="0"/>
                <w:sz w:val="24"/>
              </w:rPr>
              <w:t>Iluminarea naturală redusă</w:t>
            </w:r>
          </w:p>
        </w:tc>
        <w:tc>
          <w:tcPr>
            <w:tcW w:type="dxa" w:w="4677"/>
          </w:tcPr>
          <w:p>
            <w:pPr>
              <w:spacing w:line="240" w:lineRule="auto" w:after="0"/>
              <w:ind w:firstLine="0"/>
              <w:jc w:val="left"/>
            </w:pPr>
            <w:r>
              <w:rPr>
                <w:rFonts w:ascii="Times New Roman" w:hAnsi="Times New Roman" w:eastAsia="Times New Roman"/>
                <w:b w:val="0"/>
                <w:sz w:val="24"/>
              </w:rPr>
              <w:t>Prelungește supraviețuirea bacililor în spațiile întunecoase și umede</w:t>
            </w:r>
          </w:p>
        </w:tc>
      </w:tr>
      <w:tr>
        <w:tc>
          <w:tcPr>
            <w:tcW w:type="dxa" w:w="4677"/>
          </w:tcPr>
          <w:p>
            <w:pPr>
              <w:spacing w:line="240" w:lineRule="auto" w:after="0"/>
              <w:ind w:firstLine="0"/>
              <w:jc w:val="left"/>
            </w:pPr>
            <w:r>
              <w:rPr>
                <w:rFonts w:ascii="Times New Roman" w:hAnsi="Times New Roman" w:eastAsia="Times New Roman"/>
                <w:b w:val="0"/>
                <w:sz w:val="24"/>
              </w:rPr>
              <w:t>Instituții închise (penitenciare etc.)</w:t>
            </w:r>
          </w:p>
        </w:tc>
        <w:tc>
          <w:tcPr>
            <w:tcW w:type="dxa" w:w="4677"/>
          </w:tcPr>
          <w:p>
            <w:pPr>
              <w:spacing w:line="240" w:lineRule="auto" w:after="0"/>
              <w:ind w:firstLine="0"/>
              <w:jc w:val="left"/>
            </w:pPr>
            <w:r>
              <w:rPr>
                <w:rFonts w:ascii="Times New Roman" w:hAnsi="Times New Roman" w:eastAsia="Times New Roman"/>
                <w:b w:val="0"/>
                <w:sz w:val="24"/>
              </w:rPr>
              <w:t>Conviețuire aglomerată, favorizând transmiterea intensă</w:t>
            </w:r>
          </w:p>
        </w:tc>
      </w:tr>
      <w:tr>
        <w:tc>
          <w:tcPr>
            <w:tcW w:type="dxa" w:w="4677"/>
          </w:tcPr>
          <w:p>
            <w:pPr>
              <w:spacing w:line="240" w:lineRule="auto" w:after="0"/>
              <w:ind w:firstLine="0"/>
              <w:jc w:val="left"/>
            </w:pPr>
            <w:r>
              <w:rPr>
                <w:rFonts w:ascii="Times New Roman" w:hAnsi="Times New Roman" w:eastAsia="Times New Roman"/>
                <w:b w:val="0"/>
                <w:sz w:val="24"/>
              </w:rPr>
              <w:t>Expunerea profesională</w:t>
            </w:r>
          </w:p>
        </w:tc>
        <w:tc>
          <w:tcPr>
            <w:tcW w:type="dxa" w:w="4677"/>
          </w:tcPr>
          <w:p>
            <w:pPr>
              <w:spacing w:line="240" w:lineRule="auto" w:after="0"/>
              <w:ind w:firstLine="0"/>
              <w:jc w:val="left"/>
            </w:pPr>
            <w:r>
              <w:rPr>
                <w:rFonts w:ascii="Times New Roman" w:hAnsi="Times New Roman" w:eastAsia="Times New Roman"/>
                <w:b w:val="0"/>
                <w:sz w:val="24"/>
              </w:rPr>
              <w:t>Contact frecvent cu surse de infecție sau afectarea plămânului (pulberi)</w:t>
            </w:r>
          </w:p>
        </w:tc>
      </w:tr>
      <w:tr>
        <w:tc>
          <w:tcPr>
            <w:tcW w:type="dxa" w:w="4677"/>
          </w:tcPr>
          <w:p>
            <w:pPr>
              <w:spacing w:line="240" w:lineRule="auto" w:after="0"/>
              <w:ind w:firstLine="0"/>
              <w:jc w:val="left"/>
            </w:pPr>
            <w:r>
              <w:rPr>
                <w:rFonts w:ascii="Times New Roman" w:hAnsi="Times New Roman" w:eastAsia="Times New Roman"/>
                <w:b w:val="0"/>
                <w:sz w:val="24"/>
              </w:rPr>
              <w:t>Igiena respiratorie precară</w:t>
            </w:r>
          </w:p>
        </w:tc>
        <w:tc>
          <w:tcPr>
            <w:tcW w:type="dxa" w:w="4677"/>
          </w:tcPr>
          <w:p>
            <w:pPr>
              <w:spacing w:line="240" w:lineRule="auto" w:after="0"/>
              <w:ind w:firstLine="0"/>
              <w:jc w:val="left"/>
            </w:pPr>
            <w:r>
              <w:rPr>
                <w:rFonts w:ascii="Times New Roman" w:hAnsi="Times New Roman" w:eastAsia="Times New Roman"/>
                <w:b w:val="0"/>
                <w:sz w:val="24"/>
              </w:rPr>
              <w:t>Favorizează dispersia particulelor infectante de la bolnavul contagios</w:t>
            </w:r>
          </w:p>
        </w:tc>
      </w:tr>
      <w:tr>
        <w:tc>
          <w:tcPr>
            <w:tcW w:type="dxa" w:w="4677"/>
          </w:tcPr>
          <w:p>
            <w:pPr>
              <w:spacing w:line="240" w:lineRule="auto" w:after="0"/>
              <w:ind w:firstLine="0"/>
              <w:jc w:val="left"/>
            </w:pPr>
            <w:r>
              <w:rPr>
                <w:rFonts w:ascii="Times New Roman" w:hAnsi="Times New Roman" w:eastAsia="Times New Roman"/>
                <w:b w:val="0"/>
                <w:sz w:val="24"/>
              </w:rPr>
              <w:t>Subnutriția</w:t>
            </w:r>
          </w:p>
        </w:tc>
        <w:tc>
          <w:tcPr>
            <w:tcW w:type="dxa" w:w="4677"/>
          </w:tcPr>
          <w:p>
            <w:pPr>
              <w:spacing w:line="240" w:lineRule="auto" w:after="0"/>
              <w:ind w:firstLine="0"/>
              <w:jc w:val="left"/>
            </w:pPr>
            <w:r>
              <w:rPr>
                <w:rFonts w:ascii="Times New Roman" w:hAnsi="Times New Roman" w:eastAsia="Times New Roman"/>
                <w:b w:val="0"/>
                <w:sz w:val="24"/>
              </w:rPr>
              <w:t>Slăbește imunitatea și crește riscul de progresie spre boală activă</w:t>
            </w:r>
          </w:p>
        </w:tc>
      </w:tr>
      <w:tr>
        <w:tc>
          <w:tcPr>
            <w:tcW w:type="dxa" w:w="4677"/>
          </w:tcPr>
          <w:p>
            <w:pPr>
              <w:spacing w:line="240" w:lineRule="auto" w:after="0"/>
              <w:ind w:firstLine="0"/>
              <w:jc w:val="left"/>
            </w:pPr>
            <w:r>
              <w:rPr>
                <w:rFonts w:ascii="Times New Roman" w:hAnsi="Times New Roman" w:eastAsia="Times New Roman"/>
                <w:b w:val="0"/>
                <w:sz w:val="24"/>
              </w:rPr>
              <w:t>Factori socioeconomici (sărăcie, acces redus)</w:t>
            </w:r>
          </w:p>
        </w:tc>
        <w:tc>
          <w:tcPr>
            <w:tcW w:type="dxa" w:w="4677"/>
          </w:tcPr>
          <w:p>
            <w:pPr>
              <w:spacing w:line="240" w:lineRule="auto" w:after="0"/>
              <w:ind w:firstLine="0"/>
              <w:jc w:val="left"/>
            </w:pPr>
            <w:r>
              <w:rPr>
                <w:rFonts w:ascii="Times New Roman" w:hAnsi="Times New Roman" w:eastAsia="Times New Roman"/>
                <w:b w:val="0"/>
                <w:sz w:val="24"/>
              </w:rPr>
              <w:t>Întârzie diagnosticul și tratamentul; prelungesc contagiozitatea</w:t>
            </w:r>
          </w:p>
        </w:tc>
      </w:tr>
    </w:tbl>
    <w:p>
      <w:pPr>
        <w:spacing w:line="240" w:lineRule="auto" w:after="160" w:before="0"/>
        <w:ind w:firstLine="0"/>
        <w:jc w:val="left"/>
      </w:pPr>
      <w:r>
        <w:rPr>
          <w:rFonts w:ascii="Times New Roman" w:hAnsi="Times New Roman" w:eastAsia="Times New Roman"/>
          <w:b w:val="0"/>
          <w:i/>
          <w:sz w:val="22"/>
        </w:rPr>
        <w:t>Notă: Sinteză pe baza surselor OMS, 2025 și Duarte R. et al., 2018.</w:t>
      </w:r>
    </w:p>
    <w:p>
      <w:pPr>
        <w:keepNext/>
        <w:spacing w:line="240" w:lineRule="auto" w:before="240" w:after="120"/>
        <w:ind w:firstLine="0"/>
        <w:jc w:val="center"/>
      </w:pPr>
      <w:r>
        <w:rPr>
          <w:rFonts w:ascii="Times New Roman" w:hAnsi="Times New Roman" w:eastAsia="Times New Roman"/>
          <w:b/>
          <w:sz w:val="28"/>
        </w:rPr>
        <w:t>CAPITOLUL III. EPIDEMIOLOGIA TUBERCULOZEI PULMONARE</w:t>
      </w:r>
    </w:p>
    <w:p>
      <w:pPr>
        <w:spacing w:line="240" w:lineRule="auto" w:after="0" w:before="0"/>
        <w:ind w:firstLine="709"/>
        <w:jc w:val="both"/>
      </w:pPr>
      <w:r>
        <w:rPr>
          <w:rFonts w:ascii="Times New Roman" w:hAnsi="Times New Roman" w:eastAsia="Times New Roman"/>
          <w:b w:val="0"/>
          <w:i w:val="0"/>
          <w:sz w:val="28"/>
        </w:rPr>
        <w:t>Epidemiologia tuberculozei descrie distribuția bolii în populație, căile de transmitere și factorii care îi determină persistența. Analiza acestor aspecte la nivel global și regional oferă contextul necesar pentru interpretarea corectă a situației din Republica Moldova.</w:t>
      </w:r>
    </w:p>
    <w:p>
      <w:pPr>
        <w:keepNext/>
        <w:spacing w:line="240" w:lineRule="auto" w:before="160" w:after="120"/>
        <w:ind w:firstLine="0"/>
        <w:jc w:val="left"/>
      </w:pPr>
      <w:r>
        <w:rPr>
          <w:rFonts w:ascii="Times New Roman" w:hAnsi="Times New Roman" w:eastAsia="Times New Roman"/>
          <w:b/>
          <w:sz w:val="28"/>
        </w:rPr>
        <w:t>3.1. Epidemiologia globală</w:t>
      </w:r>
    </w:p>
    <w:p>
      <w:pPr>
        <w:spacing w:line="240" w:lineRule="auto" w:after="0" w:before="0"/>
        <w:ind w:firstLine="709"/>
        <w:jc w:val="both"/>
      </w:pPr>
      <w:r>
        <w:rPr>
          <w:rFonts w:ascii="Times New Roman" w:hAnsi="Times New Roman" w:eastAsia="Times New Roman"/>
          <w:b w:val="0"/>
          <w:i w:val="0"/>
          <w:sz w:val="28"/>
        </w:rPr>
        <w:t>Potrivit celui mai recent Raport global privind tuberculoza, în anul 2024 un număr estimat de 10,7 milioane de persoane (interval de incertitudine de 95%: 9,9–11,5 milioane) s-au îmbolnăvit de tuberculoză la nivel mondial, ceea ce corespunde unei rate de incidență de 131 de cazuri la 100 000 de locuitori. Boala a cauzat aproximativ 1,23 milioane de decese, dintre care circa 1,08 milioane în rândul persoanelor HIV-negative și 150 000 în rândul persoanelor care trăiesc cu HIV. După o perioadă în care COVID-19 a ocupat primul loc, tuberculoza a redevenit principala cauză de deces provocată de un singur agent infecțios (OMS, 2025).</w:t>
      </w:r>
    </w:p>
    <w:p>
      <w:pPr>
        <w:spacing w:line="240" w:lineRule="auto" w:after="0" w:before="0"/>
        <w:ind w:firstLine="709"/>
        <w:jc w:val="both"/>
      </w:pPr>
      <w:r>
        <w:rPr>
          <w:rFonts w:ascii="Times New Roman" w:hAnsi="Times New Roman" w:eastAsia="Times New Roman"/>
          <w:b w:val="0"/>
          <w:i w:val="0"/>
          <w:sz w:val="28"/>
        </w:rPr>
        <w:t>Este esențială distincția între conceptele epidemiologice de bază. Incidența se referă la numărul estimat de cazuri noi apărute într-o perioadă, în timp ce cazurile notificate reprezintă numărul de cazuri efectiv diagnosticate și raportate; diferența dintre cele două reflectă cazurile nedepistate. În anul 2024, la nivel mondial au fost raportate (notificate) 8,3 milioane de persoane cu tuberculoză, sub nivelul incidenței estimate, ceea ce indică un deficit persistent de depistare (OMS, 2025).</w:t>
      </w:r>
    </w:p>
    <w:p>
      <w:pPr>
        <w:keepNext/>
        <w:spacing w:line="240" w:lineRule="auto" w:before="160" w:after="120"/>
        <w:ind w:firstLine="0"/>
        <w:jc w:val="left"/>
      </w:pPr>
      <w:r>
        <w:rPr>
          <w:rFonts w:ascii="Times New Roman" w:hAnsi="Times New Roman" w:eastAsia="Times New Roman"/>
          <w:b/>
          <w:sz w:val="28"/>
        </w:rPr>
        <w:t>3.2. Situația în Regiunea Europeană</w:t>
      </w:r>
    </w:p>
    <w:p>
      <w:pPr>
        <w:spacing w:line="240" w:lineRule="auto" w:after="0" w:before="0"/>
        <w:ind w:firstLine="709"/>
        <w:jc w:val="both"/>
      </w:pPr>
      <w:r>
        <w:rPr>
          <w:rFonts w:ascii="Times New Roman" w:hAnsi="Times New Roman" w:eastAsia="Times New Roman"/>
          <w:b w:val="0"/>
          <w:i w:val="0"/>
          <w:sz w:val="28"/>
        </w:rPr>
        <w:t>În Regiunea Europeană a OMS, tendința pe termen lung este favorabilă: între anii 2015 și 2024 s-a înregistrat o reducere de aproximativ 39% a ratei de incidență și de 49% a numărului de decese prin tuberculoză (OMS, 2025). Cu toate acestea, regiunea se confruntă cu provocări importante, în special legate de depistare și de rezistența la medicamente. Analiza de supraveghere comună a OMS Europa și a Centrului European de Prevenire și Control al Bolilor arată că mai mult de unul din cinci cazuri noi de tuberculoză rămâne nedepistat în regiune, ceea ce întreține transmiterea (OMS/ECDC, 2025).</w:t>
      </w:r>
    </w:p>
    <w:p>
      <w:pPr>
        <w:keepNext/>
        <w:spacing w:line="240" w:lineRule="auto" w:before="160" w:after="120"/>
        <w:ind w:firstLine="0"/>
        <w:jc w:val="left"/>
      </w:pPr>
      <w:r>
        <w:rPr>
          <w:rFonts w:ascii="Times New Roman" w:hAnsi="Times New Roman" w:eastAsia="Times New Roman"/>
          <w:b/>
          <w:sz w:val="28"/>
        </w:rPr>
        <w:t>3.3. Căile și condițiile de transmitere</w:t>
      </w:r>
    </w:p>
    <w:p>
      <w:pPr>
        <w:spacing w:line="240" w:lineRule="auto" w:after="0" w:before="0"/>
        <w:ind w:firstLine="709"/>
        <w:jc w:val="both"/>
      </w:pPr>
      <w:r>
        <w:rPr>
          <w:rFonts w:ascii="Times New Roman" w:hAnsi="Times New Roman" w:eastAsia="Times New Roman"/>
          <w:b w:val="0"/>
          <w:i w:val="0"/>
          <w:sz w:val="28"/>
        </w:rPr>
        <w:t>Transmiterea tuberculozei este condiționată de existența unei surse (bolnav cu tuberculoză pulmonară activă, bacilifer), de un mod de transmitere (aerogen, prin nuclei de picătură) și de o gazdă receptivă. Condițiile de mediu descrise în capitolul anterior – aglomerația, ventilația deficitară, lipsa luminii – modulează intensitatea transmiterii. Perioada cea mai contagioasă este cea dinaintea diagnosticului și din primele zile de tratament, de unde importanța depistării precoce.</w:t>
      </w:r>
    </w:p>
    <w:p>
      <w:pPr>
        <w:keepNext/>
        <w:spacing w:line="240" w:lineRule="auto" w:before="160" w:after="120"/>
        <w:ind w:firstLine="0"/>
        <w:jc w:val="left"/>
      </w:pPr>
      <w:r>
        <w:rPr>
          <w:rFonts w:ascii="Times New Roman" w:hAnsi="Times New Roman" w:eastAsia="Times New Roman"/>
          <w:b/>
          <w:sz w:val="28"/>
        </w:rPr>
        <w:t>3.4. Grupele populaționale vulnerabile</w:t>
      </w:r>
    </w:p>
    <w:p>
      <w:pPr>
        <w:spacing w:line="240" w:lineRule="auto" w:after="0" w:before="0"/>
        <w:ind w:firstLine="709"/>
        <w:jc w:val="both"/>
      </w:pPr>
      <w:r>
        <w:rPr>
          <w:rFonts w:ascii="Times New Roman" w:hAnsi="Times New Roman" w:eastAsia="Times New Roman"/>
          <w:b w:val="0"/>
          <w:i w:val="0"/>
          <w:sz w:val="28"/>
        </w:rPr>
        <w:t>Riscul de tuberculoză este inegal distribuit. Grupele cele mai vulnerabile includ persoanele care trăiesc cu HIV, persoanele aflate în detenție, persoanele fără adăpost, migranții, consumatorii de droguri, persoanele cu subnutriție sau diabet și cele din gospodării cu venituri reduse (Guvernul Republicii Moldova, 2026). Concentrarea cazurilor în aceste grupuri reflectă rolul determinantelor sociale și igienice și orientează intervențiile de depistare activă.</w:t>
      </w:r>
    </w:p>
    <w:p>
      <w:pPr>
        <w:keepNext/>
        <w:spacing w:line="240" w:lineRule="auto" w:before="160" w:after="120"/>
        <w:ind w:firstLine="0"/>
        <w:jc w:val="left"/>
      </w:pPr>
      <w:r>
        <w:rPr>
          <w:rFonts w:ascii="Times New Roman" w:hAnsi="Times New Roman" w:eastAsia="Times New Roman"/>
          <w:b/>
          <w:sz w:val="28"/>
        </w:rPr>
        <w:t>3.5. Tuberculoza rezistentă la medicamente și implicațiile epidemiologice</w:t>
      </w:r>
    </w:p>
    <w:p>
      <w:pPr>
        <w:spacing w:line="240" w:lineRule="auto" w:after="0" w:before="0"/>
        <w:ind w:firstLine="709"/>
        <w:jc w:val="both"/>
      </w:pPr>
      <w:r>
        <w:rPr>
          <w:rFonts w:ascii="Times New Roman" w:hAnsi="Times New Roman" w:eastAsia="Times New Roman"/>
          <w:b w:val="0"/>
          <w:i w:val="0"/>
          <w:sz w:val="28"/>
        </w:rPr>
        <w:t>Tuberculoza rezistentă la medicamente reprezintă o amenințare majoră pentru controlul bolii. Tuberculoza care este rezistentă cel puțin la rifampicină (RR-TB), respectiv la rifampicină și izoniazidă (multidrogrezistentă, MDR-TB), necesită regimuri de tratament mai lungi, mai costisitoare și cu mai multe efecte adverse. La nivel global, în anul 2024 aproximativ 3,2% dintre cazurile noi au prezentat MDR/RR-TB, iar numărul persoanelor care au dezvoltat RR-TB a fost estimat la circa 390 000, dintre care doar aproximativ 42% (164 545 de persoane) au fost luate în tratament (OMS, 2025). Persistența formelor rezistente prelungește contagiozitatea și subliniază necesitatea diagnosticului precoce al rezistenței și a aderenței stricte la tratament.</w:t>
      </w:r>
    </w:p>
    <w:p>
      <w:pPr>
        <w:keepNext/>
        <w:spacing w:line="240" w:lineRule="auto" w:before="240" w:after="120"/>
        <w:ind w:firstLine="0"/>
        <w:jc w:val="center"/>
      </w:pPr>
      <w:r>
        <w:rPr>
          <w:rFonts w:ascii="Times New Roman" w:hAnsi="Times New Roman" w:eastAsia="Times New Roman"/>
          <w:b/>
          <w:sz w:val="28"/>
        </w:rPr>
        <w:t>CAPITOLUL IV. INDICII MORBIDITĂȚII PRIN TUBERCULOZĂ ÎN REPUBLICA MOLDOVA</w:t>
      </w:r>
    </w:p>
    <w:p>
      <w:pPr>
        <w:spacing w:line="240" w:lineRule="auto" w:after="0" w:before="0"/>
        <w:ind w:firstLine="709"/>
        <w:jc w:val="both"/>
      </w:pPr>
      <w:r>
        <w:rPr>
          <w:rFonts w:ascii="Times New Roman" w:hAnsi="Times New Roman" w:eastAsia="Times New Roman"/>
          <w:b w:val="0"/>
          <w:i w:val="0"/>
          <w:sz w:val="28"/>
        </w:rPr>
        <w:t>Analiza indicilor morbidității prin tuberculoză în Republica Moldova se bazează pe datele Sistemului informațional „Monitorizarea și evaluarea tuberculozei” (SI METB), sursa oficială națională pentru datele epidemiologice privind tuberculoza, precum și pe datele Agenției Naționale pentru Sănătate Publică și ale Biroului Național de Statistică (Guvernul Republicii Moldova, 2026). Cele mai recente date naționale validate la momentul elaborării se referă la anul 2024.</w:t>
      </w:r>
    </w:p>
    <w:p>
      <w:pPr>
        <w:keepNext/>
        <w:spacing w:line="240" w:lineRule="auto" w:before="160" w:after="120"/>
        <w:ind w:firstLine="0"/>
        <w:jc w:val="left"/>
      </w:pPr>
      <w:r>
        <w:rPr>
          <w:rFonts w:ascii="Times New Roman" w:hAnsi="Times New Roman" w:eastAsia="Times New Roman"/>
          <w:b/>
          <w:sz w:val="28"/>
        </w:rPr>
        <w:t>4.1. Evoluția epidemiologică și incidența cazurilor</w:t>
      </w:r>
    </w:p>
    <w:p>
      <w:pPr>
        <w:spacing w:line="240" w:lineRule="auto" w:after="0" w:before="0"/>
        <w:ind w:firstLine="709"/>
        <w:jc w:val="both"/>
      </w:pPr>
      <w:r>
        <w:rPr>
          <w:rFonts w:ascii="Times New Roman" w:hAnsi="Times New Roman" w:eastAsia="Times New Roman"/>
          <w:b w:val="0"/>
          <w:i w:val="0"/>
          <w:sz w:val="28"/>
        </w:rPr>
        <w:t>În anul 2024, în Republica Moldova au fost înregistrate 1 931 de cazuri noi și recidive de tuberculoză, corespunzând unei rate de incidență de 67,6 la 100 000 de locuitori. Comparativ cu anul 2023, când au fost notificate 2 168 de cazuri (74,3 la 100 000), se constată o reducere de 9%, iar față de anul 2015 (3 607 cazuri, 89,4 la 100 000) reducerea cumulativă este de 24,4% (Guvernul Republicii Moldova, 2026). Analizată separat, incidența cazurilor noi a scăzut de la 59,4 la 100 000 (1 734 de cazuri) în 2023 la 54,4 la 100 000 (1 555 de cazuri) în 2024, iar incidența recidivelor a scăzut de la 14,9 la 13,2 la 100 000. Această tendință descendentă reflectă impactul extinderii diagnosticului rapid, al accesului universal la tratament și al consolidării serviciilor ambulatorii și comunitare.</w:t>
      </w:r>
    </w:p>
    <w:p>
      <w:pPr>
        <w:keepNext/>
        <w:spacing w:line="240" w:lineRule="auto" w:before="160" w:after="120"/>
        <w:ind w:firstLine="0"/>
        <w:jc w:val="left"/>
      </w:pPr>
      <w:r>
        <w:rPr>
          <w:rFonts w:ascii="Times New Roman" w:hAnsi="Times New Roman" w:eastAsia="Times New Roman"/>
          <w:b/>
          <w:sz w:val="28"/>
        </w:rPr>
        <w:t>4.2. Mortalitatea prin tuberculoză</w:t>
      </w:r>
    </w:p>
    <w:p>
      <w:pPr>
        <w:spacing w:line="240" w:lineRule="auto" w:after="0" w:before="0"/>
        <w:ind w:firstLine="709"/>
        <w:jc w:val="both"/>
      </w:pPr>
      <w:r>
        <w:rPr>
          <w:rFonts w:ascii="Times New Roman" w:hAnsi="Times New Roman" w:eastAsia="Times New Roman"/>
          <w:b w:val="0"/>
          <w:i w:val="0"/>
          <w:sz w:val="28"/>
        </w:rPr>
        <w:t>Mortalitatea prin tuberculoză în anul 2024 a fost de 4,9 la 100 000 de locuitori (139 de cazuri), în scădere cu 23,4% față de anul 2023 (6,4 la 100 000, 186 de cazuri) și cu 51,5% față de anul 2015 (10,1 la 100 000, 408 cazuri) (Guvernul Republicii Moldova, 2026). Reducerea susținută a mortalității este unul dintre cele mai importante progrese ale programului național și reflectă îmbunătățirea accesului la diagnostic și la tratament eficient.</w:t>
      </w:r>
    </w:p>
    <w:p>
      <w:pPr>
        <w:keepNext/>
        <w:spacing w:line="240" w:lineRule="auto" w:before="160" w:after="120"/>
        <w:ind w:firstLine="0"/>
        <w:jc w:val="left"/>
      </w:pPr>
      <w:r>
        <w:rPr>
          <w:rFonts w:ascii="Times New Roman" w:hAnsi="Times New Roman" w:eastAsia="Times New Roman"/>
          <w:b/>
          <w:sz w:val="28"/>
        </w:rPr>
        <w:t>4.3. Distribuția pe vârstă, sex și categorii speciale</w:t>
      </w:r>
    </w:p>
    <w:p>
      <w:pPr>
        <w:spacing w:line="240" w:lineRule="auto" w:after="0" w:before="0"/>
        <w:ind w:firstLine="709"/>
        <w:jc w:val="both"/>
      </w:pPr>
      <w:r>
        <w:rPr>
          <w:rFonts w:ascii="Times New Roman" w:hAnsi="Times New Roman" w:eastAsia="Times New Roman"/>
          <w:b w:val="0"/>
          <w:i w:val="0"/>
          <w:sz w:val="28"/>
        </w:rPr>
        <w:t>Tuberculoza afectează mai mult bărbații decât femeile, cu un raport de aproximativ 75% la 25% din cazurile noi și recidive înregistrate în anul 2024, cele mai ridicate rate fiind observate la adulții cu vârsta între 35 și 44 de ani, iar vârsta medie la diagnostic fiind de 43 de ani (Guvernul Republicii Moldova, 2026). La copiii cu vârsta sub 18 ani, incidența a fost de 24 la 100 000 (146 de cazuri) în 2024, în scădere față de 2023 (30,4 la 100 000, 184 de cazuri); copiii au reprezentat 7,6% din totalul cazurilor noi și recidive. Datele dezagregate pe grupe de vârstă și sex confirmă afectarea preponderentă a populației adulte masculine de vârstă activă (ANSP, 2025).</w:t>
      </w:r>
    </w:p>
    <w:p>
      <w:pPr>
        <w:keepNext/>
        <w:spacing w:line="240" w:lineRule="auto" w:before="160" w:after="120"/>
        <w:ind w:firstLine="0"/>
        <w:jc w:val="left"/>
      </w:pPr>
      <w:r>
        <w:rPr>
          <w:rFonts w:ascii="Times New Roman" w:hAnsi="Times New Roman" w:eastAsia="Times New Roman"/>
          <w:b/>
          <w:sz w:val="28"/>
        </w:rPr>
        <w:t>4.4. Tuberculoza multidrogrezistentă și coinfecția TB/HIV</w:t>
      </w:r>
    </w:p>
    <w:p>
      <w:pPr>
        <w:spacing w:line="240" w:lineRule="auto" w:after="0" w:before="0"/>
        <w:ind w:firstLine="709"/>
        <w:jc w:val="both"/>
      </w:pPr>
      <w:r>
        <w:rPr>
          <w:rFonts w:ascii="Times New Roman" w:hAnsi="Times New Roman" w:eastAsia="Times New Roman"/>
          <w:b w:val="0"/>
          <w:i w:val="0"/>
          <w:sz w:val="28"/>
        </w:rPr>
        <w:t>Tuberculoza rezistentă la medicamente rămâne o provocare majoră. În anul 2024, rata tuberculozei drogrezistente a constituit 26,2% printre cazurile noi și 39% printre cazurile de retratament (Guvernul Republicii Moldova, 2026). Coinfecția TB/HIV a crescut de la 8,6% în 2015 la 12,1% în 2024, în condițiile în care rata testării HIV printre pacienții cu tuberculoză a atins 97,7%, iar acoperirea cu tratament antiretroviral a fost de 88,5%. Aceste date subliniază necesitatea abordării integrate a celor două infecții.</w:t>
      </w:r>
    </w:p>
    <w:p>
      <w:pPr>
        <w:keepNext/>
        <w:spacing w:line="240" w:lineRule="auto" w:before="160" w:after="120"/>
        <w:ind w:firstLine="0"/>
        <w:jc w:val="left"/>
      </w:pPr>
      <w:r>
        <w:rPr>
          <w:rFonts w:ascii="Times New Roman" w:hAnsi="Times New Roman" w:eastAsia="Times New Roman"/>
          <w:b/>
          <w:sz w:val="28"/>
        </w:rPr>
        <w:t>4.5. Rezultatele tratamentului</w:t>
      </w:r>
    </w:p>
    <w:p>
      <w:pPr>
        <w:spacing w:line="240" w:lineRule="auto" w:after="0" w:before="0"/>
        <w:ind w:firstLine="709"/>
        <w:jc w:val="both"/>
      </w:pPr>
      <w:r>
        <w:rPr>
          <w:rFonts w:ascii="Times New Roman" w:hAnsi="Times New Roman" w:eastAsia="Times New Roman"/>
          <w:b w:val="0"/>
          <w:i w:val="0"/>
          <w:sz w:val="28"/>
        </w:rPr>
        <w:t>Rata de succes a tratamentului printre cazurile noi și recidive de tuberculoză sensibilă, pentru pacienții care au inițiat tratamentul în anul 2023, a fost de 85%. Pentru tuberculoza multidrogrezistentă, odată cu introducerea medicamentelor noi (Bedaquilină, Delamanid, Pretomanid), rata de succes pentru cohorta pacienților care au inițiat tratamentul în anul 2022 a atins 77,5% (Guvernul Republicii Moldova, 2026). Evoluția principalilor indicatori naționali este prezentată sintetic în Tabelul 2.</w:t>
      </w:r>
    </w:p>
    <w:p>
      <w:pPr>
        <w:keepNext/>
        <w:spacing w:line="240" w:lineRule="auto" w:after="40" w:before="0"/>
        <w:ind w:firstLine="0"/>
        <w:jc w:val="center"/>
      </w:pPr>
      <w:r>
        <w:rPr>
          <w:rFonts w:ascii="Times New Roman" w:hAnsi="Times New Roman" w:eastAsia="Times New Roman"/>
          <w:b/>
          <w:i w:val="0"/>
          <w:sz w:val="24"/>
        </w:rPr>
        <w:t>Tabelul 2. Evoluția principalilor indicatori ai tuberculozei în Republica Moldova (2015, 2023, 2024)</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line="240" w:lineRule="auto" w:after="0"/>
              <w:ind w:firstLine="0"/>
              <w:jc w:val="center"/>
            </w:pPr>
            <w:r>
              <w:rPr>
                <w:rFonts w:ascii="Times New Roman" w:hAnsi="Times New Roman" w:eastAsia="Times New Roman"/>
                <w:b/>
                <w:sz w:val="24"/>
              </w:rPr>
              <w:t>Indicator</w:t>
            </w:r>
          </w:p>
        </w:tc>
        <w:tc>
          <w:tcPr>
            <w:tcW w:type="dxa" w:w="2339"/>
          </w:tcPr>
          <w:p>
            <w:pPr>
              <w:spacing w:line="240" w:lineRule="auto" w:after="0"/>
              <w:ind w:firstLine="0"/>
              <w:jc w:val="center"/>
            </w:pPr>
            <w:r>
              <w:rPr>
                <w:rFonts w:ascii="Times New Roman" w:hAnsi="Times New Roman" w:eastAsia="Times New Roman"/>
                <w:b/>
                <w:sz w:val="24"/>
              </w:rPr>
              <w:t>2015</w:t>
            </w:r>
          </w:p>
        </w:tc>
        <w:tc>
          <w:tcPr>
            <w:tcW w:type="dxa" w:w="2339"/>
          </w:tcPr>
          <w:p>
            <w:pPr>
              <w:spacing w:line="240" w:lineRule="auto" w:after="0"/>
              <w:ind w:firstLine="0"/>
              <w:jc w:val="center"/>
            </w:pPr>
            <w:r>
              <w:rPr>
                <w:rFonts w:ascii="Times New Roman" w:hAnsi="Times New Roman" w:eastAsia="Times New Roman"/>
                <w:b/>
                <w:sz w:val="24"/>
              </w:rPr>
              <w:t>2023</w:t>
            </w:r>
          </w:p>
        </w:tc>
        <w:tc>
          <w:tcPr>
            <w:tcW w:type="dxa" w:w="2339"/>
          </w:tcPr>
          <w:p>
            <w:pPr>
              <w:spacing w:line="240" w:lineRule="auto" w:after="0"/>
              <w:ind w:firstLine="0"/>
              <w:jc w:val="center"/>
            </w:pPr>
            <w:r>
              <w:rPr>
                <w:rFonts w:ascii="Times New Roman" w:hAnsi="Times New Roman" w:eastAsia="Times New Roman"/>
                <w:b/>
                <w:sz w:val="24"/>
              </w:rPr>
              <w:t>2024</w:t>
            </w:r>
          </w:p>
        </w:tc>
      </w:tr>
      <w:tr>
        <w:tc>
          <w:tcPr>
            <w:tcW w:type="dxa" w:w="2339"/>
          </w:tcPr>
          <w:p>
            <w:pPr>
              <w:spacing w:line="240" w:lineRule="auto" w:after="0"/>
              <w:ind w:firstLine="0"/>
              <w:jc w:val="left"/>
            </w:pPr>
            <w:r>
              <w:rPr>
                <w:rFonts w:ascii="Times New Roman" w:hAnsi="Times New Roman" w:eastAsia="Times New Roman"/>
                <w:b w:val="0"/>
                <w:sz w:val="24"/>
              </w:rPr>
              <w:t>Incidența globală (cazuri noi + recidive), la 100 000</w:t>
            </w:r>
          </w:p>
        </w:tc>
        <w:tc>
          <w:tcPr>
            <w:tcW w:type="dxa" w:w="2339"/>
          </w:tcPr>
          <w:p>
            <w:pPr>
              <w:spacing w:line="240" w:lineRule="auto" w:after="0"/>
              <w:ind w:firstLine="0"/>
              <w:jc w:val="center"/>
            </w:pPr>
            <w:r>
              <w:rPr>
                <w:rFonts w:ascii="Times New Roman" w:hAnsi="Times New Roman" w:eastAsia="Times New Roman"/>
                <w:b w:val="0"/>
                <w:sz w:val="24"/>
              </w:rPr>
              <w:t>89,4</w:t>
            </w:r>
          </w:p>
        </w:tc>
        <w:tc>
          <w:tcPr>
            <w:tcW w:type="dxa" w:w="2339"/>
          </w:tcPr>
          <w:p>
            <w:pPr>
              <w:spacing w:line="240" w:lineRule="auto" w:after="0"/>
              <w:ind w:firstLine="0"/>
              <w:jc w:val="center"/>
            </w:pPr>
            <w:r>
              <w:rPr>
                <w:rFonts w:ascii="Times New Roman" w:hAnsi="Times New Roman" w:eastAsia="Times New Roman"/>
                <w:b w:val="0"/>
                <w:sz w:val="24"/>
              </w:rPr>
              <w:t>74,3</w:t>
            </w:r>
          </w:p>
        </w:tc>
        <w:tc>
          <w:tcPr>
            <w:tcW w:type="dxa" w:w="2339"/>
          </w:tcPr>
          <w:p>
            <w:pPr>
              <w:spacing w:line="240" w:lineRule="auto" w:after="0"/>
              <w:ind w:firstLine="0"/>
              <w:jc w:val="center"/>
            </w:pPr>
            <w:r>
              <w:rPr>
                <w:rFonts w:ascii="Times New Roman" w:hAnsi="Times New Roman" w:eastAsia="Times New Roman"/>
                <w:b w:val="0"/>
                <w:sz w:val="24"/>
              </w:rPr>
              <w:t>67,6</w:t>
            </w:r>
          </w:p>
        </w:tc>
      </w:tr>
      <w:tr>
        <w:tc>
          <w:tcPr>
            <w:tcW w:type="dxa" w:w="2339"/>
          </w:tcPr>
          <w:p>
            <w:pPr>
              <w:spacing w:line="240" w:lineRule="auto" w:after="0"/>
              <w:ind w:firstLine="0"/>
              <w:jc w:val="left"/>
            </w:pPr>
            <w:r>
              <w:rPr>
                <w:rFonts w:ascii="Times New Roman" w:hAnsi="Times New Roman" w:eastAsia="Times New Roman"/>
                <w:b w:val="0"/>
                <w:sz w:val="24"/>
              </w:rPr>
              <w:t>Incidența cazurilor noi, la 100 000</w:t>
            </w:r>
          </w:p>
        </w:tc>
        <w:tc>
          <w:tcPr>
            <w:tcW w:type="dxa" w:w="2339"/>
          </w:tcPr>
          <w:p>
            <w:pPr>
              <w:spacing w:line="240" w:lineRule="auto" w:after="0"/>
              <w:ind w:firstLine="0"/>
              <w:jc w:val="center"/>
            </w:pPr>
            <w:r>
              <w:rPr>
                <w:rFonts w:ascii="Times New Roman" w:hAnsi="Times New Roman" w:eastAsia="Times New Roman"/>
                <w:b w:val="0"/>
                <w:sz w:val="24"/>
              </w:rPr>
              <w:t>70,9</w:t>
            </w:r>
          </w:p>
        </w:tc>
        <w:tc>
          <w:tcPr>
            <w:tcW w:type="dxa" w:w="2339"/>
          </w:tcPr>
          <w:p>
            <w:pPr>
              <w:spacing w:line="240" w:lineRule="auto" w:after="0"/>
              <w:ind w:firstLine="0"/>
              <w:jc w:val="center"/>
            </w:pPr>
            <w:r>
              <w:rPr>
                <w:rFonts w:ascii="Times New Roman" w:hAnsi="Times New Roman" w:eastAsia="Times New Roman"/>
                <w:b w:val="0"/>
                <w:sz w:val="24"/>
              </w:rPr>
              <w:t>59,4</w:t>
            </w:r>
          </w:p>
        </w:tc>
        <w:tc>
          <w:tcPr>
            <w:tcW w:type="dxa" w:w="2339"/>
          </w:tcPr>
          <w:p>
            <w:pPr>
              <w:spacing w:line="240" w:lineRule="auto" w:after="0"/>
              <w:ind w:firstLine="0"/>
              <w:jc w:val="center"/>
            </w:pPr>
            <w:r>
              <w:rPr>
                <w:rFonts w:ascii="Times New Roman" w:hAnsi="Times New Roman" w:eastAsia="Times New Roman"/>
                <w:b w:val="0"/>
                <w:sz w:val="24"/>
              </w:rPr>
              <w:t>54,4</w:t>
            </w:r>
          </w:p>
        </w:tc>
      </w:tr>
      <w:tr>
        <w:tc>
          <w:tcPr>
            <w:tcW w:type="dxa" w:w="2339"/>
          </w:tcPr>
          <w:p>
            <w:pPr>
              <w:spacing w:line="240" w:lineRule="auto" w:after="0"/>
              <w:ind w:firstLine="0"/>
              <w:jc w:val="left"/>
            </w:pPr>
            <w:r>
              <w:rPr>
                <w:rFonts w:ascii="Times New Roman" w:hAnsi="Times New Roman" w:eastAsia="Times New Roman"/>
                <w:b w:val="0"/>
                <w:sz w:val="24"/>
              </w:rPr>
              <w:t>Incidența recidivelor, la 100 000</w:t>
            </w:r>
          </w:p>
        </w:tc>
        <w:tc>
          <w:tcPr>
            <w:tcW w:type="dxa" w:w="2339"/>
          </w:tcPr>
          <w:p>
            <w:pPr>
              <w:spacing w:line="240" w:lineRule="auto" w:after="0"/>
              <w:ind w:firstLine="0"/>
              <w:jc w:val="center"/>
            </w:pPr>
            <w:r>
              <w:rPr>
                <w:rFonts w:ascii="Times New Roman" w:hAnsi="Times New Roman" w:eastAsia="Times New Roman"/>
                <w:b w:val="0"/>
                <w:sz w:val="24"/>
              </w:rPr>
              <w:t>18,5</w:t>
            </w:r>
          </w:p>
        </w:tc>
        <w:tc>
          <w:tcPr>
            <w:tcW w:type="dxa" w:w="2339"/>
          </w:tcPr>
          <w:p>
            <w:pPr>
              <w:spacing w:line="240" w:lineRule="auto" w:after="0"/>
              <w:ind w:firstLine="0"/>
              <w:jc w:val="center"/>
            </w:pPr>
            <w:r>
              <w:rPr>
                <w:rFonts w:ascii="Times New Roman" w:hAnsi="Times New Roman" w:eastAsia="Times New Roman"/>
                <w:b w:val="0"/>
                <w:sz w:val="24"/>
              </w:rPr>
              <w:t>14,9</w:t>
            </w:r>
          </w:p>
        </w:tc>
        <w:tc>
          <w:tcPr>
            <w:tcW w:type="dxa" w:w="2339"/>
          </w:tcPr>
          <w:p>
            <w:pPr>
              <w:spacing w:line="240" w:lineRule="auto" w:after="0"/>
              <w:ind w:firstLine="0"/>
              <w:jc w:val="center"/>
            </w:pPr>
            <w:r>
              <w:rPr>
                <w:rFonts w:ascii="Times New Roman" w:hAnsi="Times New Roman" w:eastAsia="Times New Roman"/>
                <w:b w:val="0"/>
                <w:sz w:val="24"/>
              </w:rPr>
              <w:t>13,2</w:t>
            </w:r>
          </w:p>
        </w:tc>
      </w:tr>
      <w:tr>
        <w:tc>
          <w:tcPr>
            <w:tcW w:type="dxa" w:w="2339"/>
          </w:tcPr>
          <w:p>
            <w:pPr>
              <w:spacing w:line="240" w:lineRule="auto" w:after="0"/>
              <w:ind w:firstLine="0"/>
              <w:jc w:val="left"/>
            </w:pPr>
            <w:r>
              <w:rPr>
                <w:rFonts w:ascii="Times New Roman" w:hAnsi="Times New Roman" w:eastAsia="Times New Roman"/>
                <w:b w:val="0"/>
                <w:sz w:val="24"/>
              </w:rPr>
              <w:t>Mortalitatea prin TB, la 100 000</w:t>
            </w:r>
          </w:p>
        </w:tc>
        <w:tc>
          <w:tcPr>
            <w:tcW w:type="dxa" w:w="2339"/>
          </w:tcPr>
          <w:p>
            <w:pPr>
              <w:spacing w:line="240" w:lineRule="auto" w:after="0"/>
              <w:ind w:firstLine="0"/>
              <w:jc w:val="center"/>
            </w:pPr>
            <w:r>
              <w:rPr>
                <w:rFonts w:ascii="Times New Roman" w:hAnsi="Times New Roman" w:eastAsia="Times New Roman"/>
                <w:b w:val="0"/>
                <w:sz w:val="24"/>
              </w:rPr>
              <w:t>10,1</w:t>
            </w:r>
          </w:p>
        </w:tc>
        <w:tc>
          <w:tcPr>
            <w:tcW w:type="dxa" w:w="2339"/>
          </w:tcPr>
          <w:p>
            <w:pPr>
              <w:spacing w:line="240" w:lineRule="auto" w:after="0"/>
              <w:ind w:firstLine="0"/>
              <w:jc w:val="center"/>
            </w:pPr>
            <w:r>
              <w:rPr>
                <w:rFonts w:ascii="Times New Roman" w:hAnsi="Times New Roman" w:eastAsia="Times New Roman"/>
                <w:b w:val="0"/>
                <w:sz w:val="24"/>
              </w:rPr>
              <w:t>6,4</w:t>
            </w:r>
          </w:p>
        </w:tc>
        <w:tc>
          <w:tcPr>
            <w:tcW w:type="dxa" w:w="2339"/>
          </w:tcPr>
          <w:p>
            <w:pPr>
              <w:spacing w:line="240" w:lineRule="auto" w:after="0"/>
              <w:ind w:firstLine="0"/>
              <w:jc w:val="center"/>
            </w:pPr>
            <w:r>
              <w:rPr>
                <w:rFonts w:ascii="Times New Roman" w:hAnsi="Times New Roman" w:eastAsia="Times New Roman"/>
                <w:b w:val="0"/>
                <w:sz w:val="24"/>
              </w:rPr>
              <w:t>4,9</w:t>
            </w:r>
          </w:p>
        </w:tc>
      </w:tr>
      <w:tr>
        <w:tc>
          <w:tcPr>
            <w:tcW w:type="dxa" w:w="2339"/>
          </w:tcPr>
          <w:p>
            <w:pPr>
              <w:spacing w:line="240" w:lineRule="auto" w:after="0"/>
              <w:ind w:firstLine="0"/>
              <w:jc w:val="left"/>
            </w:pPr>
            <w:r>
              <w:rPr>
                <w:rFonts w:ascii="Times New Roman" w:hAnsi="Times New Roman" w:eastAsia="Times New Roman"/>
                <w:b w:val="0"/>
                <w:sz w:val="24"/>
              </w:rPr>
              <w:t>Incidența TB la copii (0–18 ani), la 100 000</w:t>
            </w:r>
          </w:p>
        </w:tc>
        <w:tc>
          <w:tcPr>
            <w:tcW w:type="dxa" w:w="2339"/>
          </w:tcPr>
          <w:p>
            <w:pPr>
              <w:spacing w:line="240" w:lineRule="auto" w:after="0"/>
              <w:ind w:firstLine="0"/>
              <w:jc w:val="center"/>
            </w:pPr>
            <w:r>
              <w:rPr>
                <w:rFonts w:ascii="Times New Roman" w:hAnsi="Times New Roman" w:eastAsia="Times New Roman"/>
                <w:b w:val="0"/>
                <w:sz w:val="24"/>
              </w:rPr>
              <w:t>–</w:t>
            </w:r>
          </w:p>
        </w:tc>
        <w:tc>
          <w:tcPr>
            <w:tcW w:type="dxa" w:w="2339"/>
          </w:tcPr>
          <w:p>
            <w:pPr>
              <w:spacing w:line="240" w:lineRule="auto" w:after="0"/>
              <w:ind w:firstLine="0"/>
              <w:jc w:val="center"/>
            </w:pPr>
            <w:r>
              <w:rPr>
                <w:rFonts w:ascii="Times New Roman" w:hAnsi="Times New Roman" w:eastAsia="Times New Roman"/>
                <w:b w:val="0"/>
                <w:sz w:val="24"/>
              </w:rPr>
              <w:t>30,4</w:t>
            </w:r>
          </w:p>
        </w:tc>
        <w:tc>
          <w:tcPr>
            <w:tcW w:type="dxa" w:w="2339"/>
          </w:tcPr>
          <w:p>
            <w:pPr>
              <w:spacing w:line="240" w:lineRule="auto" w:after="0"/>
              <w:ind w:firstLine="0"/>
              <w:jc w:val="center"/>
            </w:pPr>
            <w:r>
              <w:rPr>
                <w:rFonts w:ascii="Times New Roman" w:hAnsi="Times New Roman" w:eastAsia="Times New Roman"/>
                <w:b w:val="0"/>
                <w:sz w:val="24"/>
              </w:rPr>
              <w:t>24,0</w:t>
            </w:r>
          </w:p>
        </w:tc>
      </w:tr>
      <w:tr>
        <w:tc>
          <w:tcPr>
            <w:tcW w:type="dxa" w:w="2339"/>
          </w:tcPr>
          <w:p>
            <w:pPr>
              <w:spacing w:line="240" w:lineRule="auto" w:after="0"/>
              <w:ind w:firstLine="0"/>
              <w:jc w:val="left"/>
            </w:pPr>
            <w:r>
              <w:rPr>
                <w:rFonts w:ascii="Times New Roman" w:hAnsi="Times New Roman" w:eastAsia="Times New Roman"/>
                <w:b w:val="0"/>
                <w:sz w:val="24"/>
              </w:rPr>
              <w:t>TB drogrezistentă printre cazurile noi, %</w:t>
            </w:r>
          </w:p>
        </w:tc>
        <w:tc>
          <w:tcPr>
            <w:tcW w:type="dxa" w:w="2339"/>
          </w:tcPr>
          <w:p>
            <w:pPr>
              <w:spacing w:line="240" w:lineRule="auto" w:after="0"/>
              <w:ind w:firstLine="0"/>
              <w:jc w:val="center"/>
            </w:pPr>
            <w:r>
              <w:rPr>
                <w:rFonts w:ascii="Times New Roman" w:hAnsi="Times New Roman" w:eastAsia="Times New Roman"/>
                <w:b w:val="0"/>
                <w:sz w:val="24"/>
              </w:rPr>
              <w:t>–</w:t>
            </w:r>
          </w:p>
        </w:tc>
        <w:tc>
          <w:tcPr>
            <w:tcW w:type="dxa" w:w="2339"/>
          </w:tcPr>
          <w:p>
            <w:pPr>
              <w:spacing w:line="240" w:lineRule="auto" w:after="0"/>
              <w:ind w:firstLine="0"/>
              <w:jc w:val="center"/>
            </w:pPr>
            <w:r>
              <w:rPr>
                <w:rFonts w:ascii="Times New Roman" w:hAnsi="Times New Roman" w:eastAsia="Times New Roman"/>
                <w:b w:val="0"/>
                <w:sz w:val="24"/>
              </w:rPr>
              <w:t>–</w:t>
            </w:r>
          </w:p>
        </w:tc>
        <w:tc>
          <w:tcPr>
            <w:tcW w:type="dxa" w:w="2339"/>
          </w:tcPr>
          <w:p>
            <w:pPr>
              <w:spacing w:line="240" w:lineRule="auto" w:after="0"/>
              <w:ind w:firstLine="0"/>
              <w:jc w:val="center"/>
            </w:pPr>
            <w:r>
              <w:rPr>
                <w:rFonts w:ascii="Times New Roman" w:hAnsi="Times New Roman" w:eastAsia="Times New Roman"/>
                <w:b w:val="0"/>
                <w:sz w:val="24"/>
              </w:rPr>
              <w:t>26,2</w:t>
            </w:r>
          </w:p>
        </w:tc>
      </w:tr>
      <w:tr>
        <w:tc>
          <w:tcPr>
            <w:tcW w:type="dxa" w:w="2339"/>
          </w:tcPr>
          <w:p>
            <w:pPr>
              <w:spacing w:line="240" w:lineRule="auto" w:after="0"/>
              <w:ind w:firstLine="0"/>
              <w:jc w:val="left"/>
            </w:pPr>
            <w:r>
              <w:rPr>
                <w:rFonts w:ascii="Times New Roman" w:hAnsi="Times New Roman" w:eastAsia="Times New Roman"/>
                <w:b w:val="0"/>
                <w:sz w:val="24"/>
              </w:rPr>
              <w:t>Coinfecția TB/HIV, %</w:t>
            </w:r>
          </w:p>
        </w:tc>
        <w:tc>
          <w:tcPr>
            <w:tcW w:type="dxa" w:w="2339"/>
          </w:tcPr>
          <w:p>
            <w:pPr>
              <w:spacing w:line="240" w:lineRule="auto" w:after="0"/>
              <w:ind w:firstLine="0"/>
              <w:jc w:val="center"/>
            </w:pPr>
            <w:r>
              <w:rPr>
                <w:rFonts w:ascii="Times New Roman" w:hAnsi="Times New Roman" w:eastAsia="Times New Roman"/>
                <w:b w:val="0"/>
                <w:sz w:val="24"/>
              </w:rPr>
              <w:t>8,6</w:t>
            </w:r>
          </w:p>
        </w:tc>
        <w:tc>
          <w:tcPr>
            <w:tcW w:type="dxa" w:w="2339"/>
          </w:tcPr>
          <w:p>
            <w:pPr>
              <w:spacing w:line="240" w:lineRule="auto" w:after="0"/>
              <w:ind w:firstLine="0"/>
              <w:jc w:val="center"/>
            </w:pPr>
            <w:r>
              <w:rPr>
                <w:rFonts w:ascii="Times New Roman" w:hAnsi="Times New Roman" w:eastAsia="Times New Roman"/>
                <w:b w:val="0"/>
                <w:sz w:val="24"/>
              </w:rPr>
              <w:t>–</w:t>
            </w:r>
          </w:p>
        </w:tc>
        <w:tc>
          <w:tcPr>
            <w:tcW w:type="dxa" w:w="2339"/>
          </w:tcPr>
          <w:p>
            <w:pPr>
              <w:spacing w:line="240" w:lineRule="auto" w:after="0"/>
              <w:ind w:firstLine="0"/>
              <w:jc w:val="center"/>
            </w:pPr>
            <w:r>
              <w:rPr>
                <w:rFonts w:ascii="Times New Roman" w:hAnsi="Times New Roman" w:eastAsia="Times New Roman"/>
                <w:b w:val="0"/>
                <w:sz w:val="24"/>
              </w:rPr>
              <w:t>12,1</w:t>
            </w:r>
          </w:p>
        </w:tc>
      </w:tr>
    </w:tbl>
    <w:p>
      <w:pPr>
        <w:spacing w:line="240" w:lineRule="auto" w:after="160" w:before="0"/>
        <w:ind w:firstLine="0"/>
        <w:jc w:val="left"/>
      </w:pPr>
      <w:r>
        <w:rPr>
          <w:rFonts w:ascii="Times New Roman" w:hAnsi="Times New Roman" w:eastAsia="Times New Roman"/>
          <w:b w:val="0"/>
          <w:i/>
          <w:sz w:val="22"/>
        </w:rPr>
        <w:t>Notă: Sursă – SI METB, Ministerul Sănătății al Republicii Moldova; Guvernul Republicii Moldova, 2026. Datele exclud raioanele din partea stângă a Nistrului și municipiul Bender.</w:t>
      </w:r>
    </w:p>
    <w:p>
      <w:pPr>
        <w:keepNext/>
        <w:spacing w:line="240" w:lineRule="auto" w:before="160" w:after="120"/>
        <w:ind w:firstLine="0"/>
        <w:jc w:val="left"/>
      </w:pPr>
      <w:r>
        <w:rPr>
          <w:rFonts w:ascii="Times New Roman" w:hAnsi="Times New Roman" w:eastAsia="Times New Roman"/>
          <w:b/>
          <w:sz w:val="28"/>
        </w:rPr>
        <w:t>4.6. Situația în municipiul Chișinău</w:t>
      </w:r>
    </w:p>
    <w:p>
      <w:pPr>
        <w:spacing w:line="240" w:lineRule="auto" w:after="0" w:before="0"/>
        <w:ind w:firstLine="709"/>
        <w:jc w:val="both"/>
      </w:pPr>
      <w:r>
        <w:rPr>
          <w:rFonts w:ascii="Times New Roman" w:hAnsi="Times New Roman" w:eastAsia="Times New Roman"/>
          <w:b w:val="0"/>
          <w:i w:val="0"/>
          <w:sz w:val="28"/>
        </w:rPr>
        <w:t>La nivelul municipiului Chișinău, evoluția incidenței tuberculozei a urmat o traiectorie oscilantă, cu o creștere până în anul 2023, urmată de o scădere în anii 2024 și 2025. Incidența cazurilor noi a fost de 33,2 la 100 000 în 2021, 41,9 în 2022, 49,2 în 2023, 34,1 în 2024 și 32,3 la 100 000 în 2025 (date statistice municipale, 2025). Valorile din municipiu se situează sub media națională a cazurilor noi, ceea ce poate fi explicat prin accesul mai bun la servicii de diagnostic în mediul urban, dar impune menținerea vigilenței, în special în rândul grupurilor vulnerabile concentrate în capitală. Evoluția detaliată este prezentată în Tabelul 3.</w:t>
      </w:r>
    </w:p>
    <w:p>
      <w:pPr>
        <w:keepNext/>
        <w:spacing w:line="240" w:lineRule="auto" w:after="40" w:before="0"/>
        <w:ind w:firstLine="0"/>
        <w:jc w:val="center"/>
      </w:pPr>
      <w:r>
        <w:rPr>
          <w:rFonts w:ascii="Times New Roman" w:hAnsi="Times New Roman" w:eastAsia="Times New Roman"/>
          <w:b/>
          <w:i w:val="0"/>
          <w:sz w:val="24"/>
        </w:rPr>
        <w:t>Tabelul 3. Morbiditatea prin tuberculoză în municipiul Chișinău, anii 2021–2025</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line="240" w:lineRule="auto" w:after="0"/>
              <w:ind w:firstLine="0"/>
              <w:jc w:val="center"/>
            </w:pPr>
            <w:r>
              <w:rPr>
                <w:rFonts w:ascii="Times New Roman" w:hAnsi="Times New Roman" w:eastAsia="Times New Roman"/>
                <w:b/>
                <w:sz w:val="24"/>
              </w:rPr>
              <w:t>An</w:t>
            </w:r>
          </w:p>
        </w:tc>
        <w:tc>
          <w:tcPr>
            <w:tcW w:type="dxa" w:w="2339"/>
          </w:tcPr>
          <w:p>
            <w:pPr>
              <w:spacing w:line="240" w:lineRule="auto" w:after="0"/>
              <w:ind w:firstLine="0"/>
              <w:jc w:val="center"/>
            </w:pPr>
            <w:r>
              <w:rPr>
                <w:rFonts w:ascii="Times New Roman" w:hAnsi="Times New Roman" w:eastAsia="Times New Roman"/>
                <w:b/>
                <w:sz w:val="24"/>
              </w:rPr>
              <w:t>Cazuri noi (abs.)</w:t>
            </w:r>
          </w:p>
        </w:tc>
        <w:tc>
          <w:tcPr>
            <w:tcW w:type="dxa" w:w="2339"/>
          </w:tcPr>
          <w:p>
            <w:pPr>
              <w:spacing w:line="240" w:lineRule="auto" w:after="0"/>
              <w:ind w:firstLine="0"/>
              <w:jc w:val="center"/>
            </w:pPr>
            <w:r>
              <w:rPr>
                <w:rFonts w:ascii="Times New Roman" w:hAnsi="Times New Roman" w:eastAsia="Times New Roman"/>
                <w:b/>
                <w:sz w:val="24"/>
              </w:rPr>
              <w:t>Incidența (la 100 000)</w:t>
            </w:r>
          </w:p>
        </w:tc>
        <w:tc>
          <w:tcPr>
            <w:tcW w:type="dxa" w:w="2339"/>
          </w:tcPr>
          <w:p>
            <w:pPr>
              <w:spacing w:line="240" w:lineRule="auto" w:after="0"/>
              <w:ind w:firstLine="0"/>
              <w:jc w:val="center"/>
            </w:pPr>
            <w:r>
              <w:rPr>
                <w:rFonts w:ascii="Times New Roman" w:hAnsi="Times New Roman" w:eastAsia="Times New Roman"/>
                <w:b/>
                <w:sz w:val="24"/>
              </w:rPr>
              <w:t>Prevalența (la 100 000)</w:t>
            </w:r>
          </w:p>
        </w:tc>
      </w:tr>
      <w:tr>
        <w:tc>
          <w:tcPr>
            <w:tcW w:type="dxa" w:w="2339"/>
          </w:tcPr>
          <w:p>
            <w:pPr>
              <w:spacing w:line="240" w:lineRule="auto" w:after="0"/>
              <w:ind w:firstLine="0"/>
              <w:jc w:val="left"/>
            </w:pPr>
            <w:r>
              <w:rPr>
                <w:rFonts w:ascii="Times New Roman" w:hAnsi="Times New Roman" w:eastAsia="Times New Roman"/>
                <w:b w:val="0"/>
                <w:sz w:val="24"/>
              </w:rPr>
              <w:t>2021</w:t>
            </w:r>
          </w:p>
        </w:tc>
        <w:tc>
          <w:tcPr>
            <w:tcW w:type="dxa" w:w="2339"/>
          </w:tcPr>
          <w:p>
            <w:pPr>
              <w:spacing w:line="240" w:lineRule="auto" w:after="0"/>
              <w:ind w:firstLine="0"/>
              <w:jc w:val="center"/>
            </w:pPr>
            <w:r>
              <w:rPr>
                <w:rFonts w:ascii="Times New Roman" w:hAnsi="Times New Roman" w:eastAsia="Times New Roman"/>
                <w:b w:val="0"/>
                <w:sz w:val="24"/>
              </w:rPr>
              <w:t>279</w:t>
            </w:r>
          </w:p>
        </w:tc>
        <w:tc>
          <w:tcPr>
            <w:tcW w:type="dxa" w:w="2339"/>
          </w:tcPr>
          <w:p>
            <w:pPr>
              <w:spacing w:line="240" w:lineRule="auto" w:after="0"/>
              <w:ind w:firstLine="0"/>
              <w:jc w:val="center"/>
            </w:pPr>
            <w:r>
              <w:rPr>
                <w:rFonts w:ascii="Times New Roman" w:hAnsi="Times New Roman" w:eastAsia="Times New Roman"/>
                <w:b w:val="0"/>
                <w:sz w:val="24"/>
              </w:rPr>
              <w:t>33,2</w:t>
            </w:r>
          </w:p>
        </w:tc>
        <w:tc>
          <w:tcPr>
            <w:tcW w:type="dxa" w:w="2339"/>
          </w:tcPr>
          <w:p>
            <w:pPr>
              <w:spacing w:line="240" w:lineRule="auto" w:after="0"/>
              <w:ind w:firstLine="0"/>
              <w:jc w:val="center"/>
            </w:pPr>
            <w:r>
              <w:rPr>
                <w:rFonts w:ascii="Times New Roman" w:hAnsi="Times New Roman" w:eastAsia="Times New Roman"/>
                <w:b w:val="0"/>
                <w:sz w:val="24"/>
              </w:rPr>
              <w:t>–</w:t>
            </w:r>
          </w:p>
        </w:tc>
      </w:tr>
      <w:tr>
        <w:tc>
          <w:tcPr>
            <w:tcW w:type="dxa" w:w="2339"/>
          </w:tcPr>
          <w:p>
            <w:pPr>
              <w:spacing w:line="240" w:lineRule="auto" w:after="0"/>
              <w:ind w:firstLine="0"/>
              <w:jc w:val="left"/>
            </w:pPr>
            <w:r>
              <w:rPr>
                <w:rFonts w:ascii="Times New Roman" w:hAnsi="Times New Roman" w:eastAsia="Times New Roman"/>
                <w:b w:val="0"/>
                <w:sz w:val="24"/>
              </w:rPr>
              <w:t>2022</w:t>
            </w:r>
          </w:p>
        </w:tc>
        <w:tc>
          <w:tcPr>
            <w:tcW w:type="dxa" w:w="2339"/>
          </w:tcPr>
          <w:p>
            <w:pPr>
              <w:spacing w:line="240" w:lineRule="auto" w:after="0"/>
              <w:ind w:firstLine="0"/>
              <w:jc w:val="center"/>
            </w:pPr>
            <w:r>
              <w:rPr>
                <w:rFonts w:ascii="Times New Roman" w:hAnsi="Times New Roman" w:eastAsia="Times New Roman"/>
                <w:b w:val="0"/>
                <w:sz w:val="24"/>
              </w:rPr>
              <w:t>284</w:t>
            </w:r>
          </w:p>
        </w:tc>
        <w:tc>
          <w:tcPr>
            <w:tcW w:type="dxa" w:w="2339"/>
          </w:tcPr>
          <w:p>
            <w:pPr>
              <w:spacing w:line="240" w:lineRule="auto" w:after="0"/>
              <w:ind w:firstLine="0"/>
              <w:jc w:val="center"/>
            </w:pPr>
            <w:r>
              <w:rPr>
                <w:rFonts w:ascii="Times New Roman" w:hAnsi="Times New Roman" w:eastAsia="Times New Roman"/>
                <w:b w:val="0"/>
                <w:sz w:val="24"/>
              </w:rPr>
              <w:t>41,9</w:t>
            </w:r>
          </w:p>
        </w:tc>
        <w:tc>
          <w:tcPr>
            <w:tcW w:type="dxa" w:w="2339"/>
          </w:tcPr>
          <w:p>
            <w:pPr>
              <w:spacing w:line="240" w:lineRule="auto" w:after="0"/>
              <w:ind w:firstLine="0"/>
              <w:jc w:val="center"/>
            </w:pPr>
            <w:r>
              <w:rPr>
                <w:rFonts w:ascii="Times New Roman" w:hAnsi="Times New Roman" w:eastAsia="Times New Roman"/>
                <w:b w:val="0"/>
                <w:sz w:val="24"/>
              </w:rPr>
              <w:t>68,3</w:t>
            </w:r>
          </w:p>
        </w:tc>
      </w:tr>
      <w:tr>
        <w:tc>
          <w:tcPr>
            <w:tcW w:type="dxa" w:w="2339"/>
          </w:tcPr>
          <w:p>
            <w:pPr>
              <w:spacing w:line="240" w:lineRule="auto" w:after="0"/>
              <w:ind w:firstLine="0"/>
              <w:jc w:val="left"/>
            </w:pPr>
            <w:r>
              <w:rPr>
                <w:rFonts w:ascii="Times New Roman" w:hAnsi="Times New Roman" w:eastAsia="Times New Roman"/>
                <w:b w:val="0"/>
                <w:sz w:val="24"/>
              </w:rPr>
              <w:t>2023</w:t>
            </w:r>
          </w:p>
        </w:tc>
        <w:tc>
          <w:tcPr>
            <w:tcW w:type="dxa" w:w="2339"/>
          </w:tcPr>
          <w:p>
            <w:pPr>
              <w:spacing w:line="240" w:lineRule="auto" w:after="0"/>
              <w:ind w:firstLine="0"/>
              <w:jc w:val="center"/>
            </w:pPr>
            <w:r>
              <w:rPr>
                <w:rFonts w:ascii="Times New Roman" w:hAnsi="Times New Roman" w:eastAsia="Times New Roman"/>
                <w:b w:val="0"/>
                <w:sz w:val="24"/>
              </w:rPr>
              <w:t>333</w:t>
            </w:r>
          </w:p>
        </w:tc>
        <w:tc>
          <w:tcPr>
            <w:tcW w:type="dxa" w:w="2339"/>
          </w:tcPr>
          <w:p>
            <w:pPr>
              <w:spacing w:line="240" w:lineRule="auto" w:after="0"/>
              <w:ind w:firstLine="0"/>
              <w:jc w:val="center"/>
            </w:pPr>
            <w:r>
              <w:rPr>
                <w:rFonts w:ascii="Times New Roman" w:hAnsi="Times New Roman" w:eastAsia="Times New Roman"/>
                <w:b w:val="0"/>
                <w:sz w:val="24"/>
              </w:rPr>
              <w:t>49,2</w:t>
            </w:r>
          </w:p>
        </w:tc>
        <w:tc>
          <w:tcPr>
            <w:tcW w:type="dxa" w:w="2339"/>
          </w:tcPr>
          <w:p>
            <w:pPr>
              <w:spacing w:line="240" w:lineRule="auto" w:after="0"/>
              <w:ind w:firstLine="0"/>
              <w:jc w:val="center"/>
            </w:pPr>
            <w:r>
              <w:rPr>
                <w:rFonts w:ascii="Times New Roman" w:hAnsi="Times New Roman" w:eastAsia="Times New Roman"/>
                <w:b w:val="0"/>
                <w:sz w:val="24"/>
              </w:rPr>
              <w:t>67,5</w:t>
            </w:r>
          </w:p>
        </w:tc>
      </w:tr>
      <w:tr>
        <w:tc>
          <w:tcPr>
            <w:tcW w:type="dxa" w:w="2339"/>
          </w:tcPr>
          <w:p>
            <w:pPr>
              <w:spacing w:line="240" w:lineRule="auto" w:after="0"/>
              <w:ind w:firstLine="0"/>
              <w:jc w:val="left"/>
            </w:pPr>
            <w:r>
              <w:rPr>
                <w:rFonts w:ascii="Times New Roman" w:hAnsi="Times New Roman" w:eastAsia="Times New Roman"/>
                <w:b w:val="0"/>
                <w:sz w:val="24"/>
              </w:rPr>
              <w:t>2024</w:t>
            </w:r>
          </w:p>
        </w:tc>
        <w:tc>
          <w:tcPr>
            <w:tcW w:type="dxa" w:w="2339"/>
          </w:tcPr>
          <w:p>
            <w:pPr>
              <w:spacing w:line="240" w:lineRule="auto" w:after="0"/>
              <w:ind w:firstLine="0"/>
              <w:jc w:val="center"/>
            </w:pPr>
            <w:r>
              <w:rPr>
                <w:rFonts w:ascii="Times New Roman" w:hAnsi="Times New Roman" w:eastAsia="Times New Roman"/>
                <w:b w:val="0"/>
                <w:sz w:val="24"/>
              </w:rPr>
              <w:t>231</w:t>
            </w:r>
          </w:p>
        </w:tc>
        <w:tc>
          <w:tcPr>
            <w:tcW w:type="dxa" w:w="2339"/>
          </w:tcPr>
          <w:p>
            <w:pPr>
              <w:spacing w:line="240" w:lineRule="auto" w:after="0"/>
              <w:ind w:firstLine="0"/>
              <w:jc w:val="center"/>
            </w:pPr>
            <w:r>
              <w:rPr>
                <w:rFonts w:ascii="Times New Roman" w:hAnsi="Times New Roman" w:eastAsia="Times New Roman"/>
                <w:b w:val="0"/>
                <w:sz w:val="24"/>
              </w:rPr>
              <w:t>34,1</w:t>
            </w:r>
          </w:p>
        </w:tc>
        <w:tc>
          <w:tcPr>
            <w:tcW w:type="dxa" w:w="2339"/>
          </w:tcPr>
          <w:p>
            <w:pPr>
              <w:spacing w:line="240" w:lineRule="auto" w:after="0"/>
              <w:ind w:firstLine="0"/>
              <w:jc w:val="center"/>
            </w:pPr>
            <w:r>
              <w:rPr>
                <w:rFonts w:ascii="Times New Roman" w:hAnsi="Times New Roman" w:eastAsia="Times New Roman"/>
                <w:b w:val="0"/>
                <w:sz w:val="24"/>
              </w:rPr>
              <w:t>48,1</w:t>
            </w:r>
          </w:p>
        </w:tc>
      </w:tr>
      <w:tr>
        <w:tc>
          <w:tcPr>
            <w:tcW w:type="dxa" w:w="2339"/>
          </w:tcPr>
          <w:p>
            <w:pPr>
              <w:spacing w:line="240" w:lineRule="auto" w:after="0"/>
              <w:ind w:firstLine="0"/>
              <w:jc w:val="left"/>
            </w:pPr>
            <w:r>
              <w:rPr>
                <w:rFonts w:ascii="Times New Roman" w:hAnsi="Times New Roman" w:eastAsia="Times New Roman"/>
                <w:b w:val="0"/>
                <w:sz w:val="24"/>
              </w:rPr>
              <w:t>2025</w:t>
            </w:r>
          </w:p>
        </w:tc>
        <w:tc>
          <w:tcPr>
            <w:tcW w:type="dxa" w:w="2339"/>
          </w:tcPr>
          <w:p>
            <w:pPr>
              <w:spacing w:line="240" w:lineRule="auto" w:after="0"/>
              <w:ind w:firstLine="0"/>
              <w:jc w:val="center"/>
            </w:pPr>
            <w:r>
              <w:rPr>
                <w:rFonts w:ascii="Times New Roman" w:hAnsi="Times New Roman" w:eastAsia="Times New Roman"/>
                <w:b w:val="0"/>
                <w:sz w:val="24"/>
              </w:rPr>
              <w:t>219</w:t>
            </w:r>
          </w:p>
        </w:tc>
        <w:tc>
          <w:tcPr>
            <w:tcW w:type="dxa" w:w="2339"/>
          </w:tcPr>
          <w:p>
            <w:pPr>
              <w:spacing w:line="240" w:lineRule="auto" w:after="0"/>
              <w:ind w:firstLine="0"/>
              <w:jc w:val="center"/>
            </w:pPr>
            <w:r>
              <w:rPr>
                <w:rFonts w:ascii="Times New Roman" w:hAnsi="Times New Roman" w:eastAsia="Times New Roman"/>
                <w:b w:val="0"/>
                <w:sz w:val="24"/>
              </w:rPr>
              <w:t>32,3</w:t>
            </w:r>
          </w:p>
        </w:tc>
        <w:tc>
          <w:tcPr>
            <w:tcW w:type="dxa" w:w="2339"/>
          </w:tcPr>
          <w:p>
            <w:pPr>
              <w:spacing w:line="240" w:lineRule="auto" w:after="0"/>
              <w:ind w:firstLine="0"/>
              <w:jc w:val="center"/>
            </w:pPr>
            <w:r>
              <w:rPr>
                <w:rFonts w:ascii="Times New Roman" w:hAnsi="Times New Roman" w:eastAsia="Times New Roman"/>
                <w:b w:val="0"/>
                <w:sz w:val="24"/>
              </w:rPr>
              <w:t>47,1</w:t>
            </w:r>
          </w:p>
        </w:tc>
      </w:tr>
    </w:tbl>
    <w:p>
      <w:pPr>
        <w:spacing w:line="240" w:lineRule="auto" w:after="160" w:before="0"/>
        <w:ind w:firstLine="0"/>
        <w:jc w:val="left"/>
      </w:pPr>
      <w:r>
        <w:rPr>
          <w:rFonts w:ascii="Times New Roman" w:hAnsi="Times New Roman" w:eastAsia="Times New Roman"/>
          <w:b w:val="0"/>
          <w:i/>
          <w:sz w:val="22"/>
        </w:rPr>
        <w:t>Notă: Sursă – date statistice privind morbiditatea prin tuberculoză, mun. Chișinău, anii 2021–2025 (ANSP). Prevalența pentru anul 2021 nu a fost raportată pe aceeași bază populațională.</w:t>
      </w:r>
    </w:p>
    <w:p>
      <w:pPr>
        <w:keepNext/>
        <w:spacing w:line="240" w:lineRule="auto" w:before="160" w:after="120"/>
        <w:ind w:firstLine="0"/>
        <w:jc w:val="left"/>
      </w:pPr>
      <w:r>
        <w:rPr>
          <w:rFonts w:ascii="Times New Roman" w:hAnsi="Times New Roman" w:eastAsia="Times New Roman"/>
          <w:b/>
          <w:sz w:val="28"/>
        </w:rPr>
        <w:t>4.7. Interpretarea tendințelor și limitele datelor</w:t>
      </w:r>
    </w:p>
    <w:p>
      <w:pPr>
        <w:spacing w:line="240" w:lineRule="auto" w:after="0" w:before="0"/>
        <w:ind w:firstLine="709"/>
        <w:jc w:val="both"/>
      </w:pPr>
      <w:r>
        <w:rPr>
          <w:rFonts w:ascii="Times New Roman" w:hAnsi="Times New Roman" w:eastAsia="Times New Roman"/>
          <w:b w:val="0"/>
          <w:i w:val="0"/>
          <w:sz w:val="28"/>
        </w:rPr>
        <w:t>Interpretarea acestor date trebuie făcută cu prudență. Reducerea incidenței reflectă progrese reale, dar poate fi influențată și de variațiile în activitatea de depistare; de exemplu, scăderea abruptă de 38,8% a cazurilor notificate în anul 2020 s-a datorat în mare parte perturbării serviciilor în timpul pandemiei COVID-19, nu unei reduceri reale a transmiterii (Guvernul Republicii Moldova, 2026). De asemenea, modificarea bazei populaționale în urma Recensământului din 2024 a impus recalcularea unor indicatori (ANSP, 2025). Comparațiile cu nivelul global trebuie interpretate cu atenție, întrucât indicatorii pot avea denominatori și metodologii diferite; sinteza comparativă este prezentată în Tabelul 4.</w:t>
      </w:r>
    </w:p>
    <w:p>
      <w:pPr>
        <w:keepNext/>
        <w:spacing w:line="240" w:lineRule="auto" w:after="40" w:before="0"/>
        <w:ind w:firstLine="0"/>
        <w:jc w:val="center"/>
      </w:pPr>
      <w:r>
        <w:rPr>
          <w:rFonts w:ascii="Times New Roman" w:hAnsi="Times New Roman" w:eastAsia="Times New Roman"/>
          <w:b/>
          <w:i w:val="0"/>
          <w:sz w:val="24"/>
        </w:rPr>
        <w:t>Tabelul 4. Indicatori comparativi ai tuberculozei: Republica Moldova, Regiunea Europeană și nivel global</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spacing w:line="240" w:lineRule="auto" w:after="0"/>
              <w:ind w:firstLine="0"/>
              <w:jc w:val="center"/>
            </w:pPr>
            <w:r>
              <w:rPr>
                <w:rFonts w:ascii="Times New Roman" w:hAnsi="Times New Roman" w:eastAsia="Times New Roman"/>
                <w:b/>
                <w:sz w:val="24"/>
              </w:rPr>
              <w:t>Indicator</w:t>
            </w:r>
          </w:p>
        </w:tc>
        <w:tc>
          <w:tcPr>
            <w:tcW w:type="dxa" w:w="3118"/>
          </w:tcPr>
          <w:p>
            <w:pPr>
              <w:spacing w:line="240" w:lineRule="auto" w:after="0"/>
              <w:ind w:firstLine="0"/>
              <w:jc w:val="center"/>
            </w:pPr>
            <w:r>
              <w:rPr>
                <w:rFonts w:ascii="Times New Roman" w:hAnsi="Times New Roman" w:eastAsia="Times New Roman"/>
                <w:b/>
                <w:sz w:val="24"/>
              </w:rPr>
              <w:t>Republica Moldova (2024)</w:t>
            </w:r>
          </w:p>
        </w:tc>
        <w:tc>
          <w:tcPr>
            <w:tcW w:type="dxa" w:w="3118"/>
          </w:tcPr>
          <w:p>
            <w:pPr>
              <w:spacing w:line="240" w:lineRule="auto" w:after="0"/>
              <w:ind w:firstLine="0"/>
              <w:jc w:val="center"/>
            </w:pPr>
            <w:r>
              <w:rPr>
                <w:rFonts w:ascii="Times New Roman" w:hAnsi="Times New Roman" w:eastAsia="Times New Roman"/>
                <w:b/>
                <w:sz w:val="24"/>
              </w:rPr>
              <w:t>Global (2024)</w:t>
            </w:r>
          </w:p>
        </w:tc>
      </w:tr>
      <w:tr>
        <w:tc>
          <w:tcPr>
            <w:tcW w:type="dxa" w:w="3118"/>
          </w:tcPr>
          <w:p>
            <w:pPr>
              <w:spacing w:line="240" w:lineRule="auto" w:after="0"/>
              <w:ind w:firstLine="0"/>
              <w:jc w:val="left"/>
            </w:pPr>
            <w:r>
              <w:rPr>
                <w:rFonts w:ascii="Times New Roman" w:hAnsi="Times New Roman" w:eastAsia="Times New Roman"/>
                <w:b w:val="0"/>
                <w:sz w:val="24"/>
              </w:rPr>
              <w:t>Incidența (cazuri noi + recidive), la 100 000</w:t>
            </w:r>
          </w:p>
        </w:tc>
        <w:tc>
          <w:tcPr>
            <w:tcW w:type="dxa" w:w="3118"/>
          </w:tcPr>
          <w:p>
            <w:pPr>
              <w:spacing w:line="240" w:lineRule="auto" w:after="0"/>
              <w:ind w:firstLine="0"/>
              <w:jc w:val="center"/>
            </w:pPr>
            <w:r>
              <w:rPr>
                <w:rFonts w:ascii="Times New Roman" w:hAnsi="Times New Roman" w:eastAsia="Times New Roman"/>
                <w:b w:val="0"/>
                <w:sz w:val="24"/>
              </w:rPr>
              <w:t>67,6</w:t>
            </w:r>
          </w:p>
        </w:tc>
        <w:tc>
          <w:tcPr>
            <w:tcW w:type="dxa" w:w="3118"/>
          </w:tcPr>
          <w:p>
            <w:pPr>
              <w:spacing w:line="240" w:lineRule="auto" w:after="0"/>
              <w:ind w:firstLine="0"/>
              <w:jc w:val="center"/>
            </w:pPr>
            <w:r>
              <w:rPr>
                <w:rFonts w:ascii="Times New Roman" w:hAnsi="Times New Roman" w:eastAsia="Times New Roman"/>
                <w:b w:val="0"/>
                <w:sz w:val="24"/>
              </w:rPr>
              <w:t>131</w:t>
            </w:r>
          </w:p>
        </w:tc>
      </w:tr>
      <w:tr>
        <w:tc>
          <w:tcPr>
            <w:tcW w:type="dxa" w:w="3118"/>
          </w:tcPr>
          <w:p>
            <w:pPr>
              <w:spacing w:line="240" w:lineRule="auto" w:after="0"/>
              <w:ind w:firstLine="0"/>
              <w:jc w:val="left"/>
            </w:pPr>
            <w:r>
              <w:rPr>
                <w:rFonts w:ascii="Times New Roman" w:hAnsi="Times New Roman" w:eastAsia="Times New Roman"/>
                <w:b w:val="0"/>
                <w:sz w:val="24"/>
              </w:rPr>
              <w:t>Mortalitatea prin TB</w:t>
            </w:r>
          </w:p>
        </w:tc>
        <w:tc>
          <w:tcPr>
            <w:tcW w:type="dxa" w:w="3118"/>
          </w:tcPr>
          <w:p>
            <w:pPr>
              <w:spacing w:line="240" w:lineRule="auto" w:after="0"/>
              <w:ind w:firstLine="0"/>
              <w:jc w:val="center"/>
            </w:pPr>
            <w:r>
              <w:rPr>
                <w:rFonts w:ascii="Times New Roman" w:hAnsi="Times New Roman" w:eastAsia="Times New Roman"/>
                <w:b w:val="0"/>
                <w:sz w:val="24"/>
              </w:rPr>
              <w:t>4,9 la 100 000 (139 decese)</w:t>
            </w:r>
          </w:p>
        </w:tc>
        <w:tc>
          <w:tcPr>
            <w:tcW w:type="dxa" w:w="3118"/>
          </w:tcPr>
          <w:p>
            <w:pPr>
              <w:spacing w:line="240" w:lineRule="auto" w:after="0"/>
              <w:ind w:firstLine="0"/>
              <w:jc w:val="center"/>
            </w:pPr>
            <w:r>
              <w:rPr>
                <w:rFonts w:ascii="Times New Roman" w:hAnsi="Times New Roman" w:eastAsia="Times New Roman"/>
                <w:b w:val="0"/>
                <w:sz w:val="24"/>
              </w:rPr>
              <w:t>cca 1,23 milioane decese</w:t>
            </w:r>
          </w:p>
        </w:tc>
      </w:tr>
      <w:tr>
        <w:tc>
          <w:tcPr>
            <w:tcW w:type="dxa" w:w="3118"/>
          </w:tcPr>
          <w:p>
            <w:pPr>
              <w:spacing w:line="240" w:lineRule="auto" w:after="0"/>
              <w:ind w:firstLine="0"/>
              <w:jc w:val="left"/>
            </w:pPr>
            <w:r>
              <w:rPr>
                <w:rFonts w:ascii="Times New Roman" w:hAnsi="Times New Roman" w:eastAsia="Times New Roman"/>
                <w:b w:val="0"/>
                <w:sz w:val="24"/>
              </w:rPr>
              <w:t>TB drogrezistentă (MDR/RR) printre cazurile noi, %</w:t>
            </w:r>
          </w:p>
        </w:tc>
        <w:tc>
          <w:tcPr>
            <w:tcW w:type="dxa" w:w="3118"/>
          </w:tcPr>
          <w:p>
            <w:pPr>
              <w:spacing w:line="240" w:lineRule="auto" w:after="0"/>
              <w:ind w:firstLine="0"/>
              <w:jc w:val="center"/>
            </w:pPr>
            <w:r>
              <w:rPr>
                <w:rFonts w:ascii="Times New Roman" w:hAnsi="Times New Roman" w:eastAsia="Times New Roman"/>
                <w:b w:val="0"/>
                <w:sz w:val="24"/>
              </w:rPr>
              <w:t>26,2</w:t>
            </w:r>
          </w:p>
        </w:tc>
        <w:tc>
          <w:tcPr>
            <w:tcW w:type="dxa" w:w="3118"/>
          </w:tcPr>
          <w:p>
            <w:pPr>
              <w:spacing w:line="240" w:lineRule="auto" w:after="0"/>
              <w:ind w:firstLine="0"/>
              <w:jc w:val="center"/>
            </w:pPr>
            <w:r>
              <w:rPr>
                <w:rFonts w:ascii="Times New Roman" w:hAnsi="Times New Roman" w:eastAsia="Times New Roman"/>
                <w:b w:val="0"/>
                <w:sz w:val="24"/>
              </w:rPr>
              <w:t>3,2</w:t>
            </w:r>
          </w:p>
        </w:tc>
      </w:tr>
      <w:tr>
        <w:tc>
          <w:tcPr>
            <w:tcW w:type="dxa" w:w="3118"/>
          </w:tcPr>
          <w:p>
            <w:pPr>
              <w:spacing w:line="240" w:lineRule="auto" w:after="0"/>
              <w:ind w:firstLine="0"/>
              <w:jc w:val="left"/>
            </w:pPr>
            <w:r>
              <w:rPr>
                <w:rFonts w:ascii="Times New Roman" w:hAnsi="Times New Roman" w:eastAsia="Times New Roman"/>
                <w:b w:val="0"/>
                <w:sz w:val="24"/>
              </w:rPr>
              <w:t>Reducerea incidenței față de 2015</w:t>
            </w:r>
          </w:p>
        </w:tc>
        <w:tc>
          <w:tcPr>
            <w:tcW w:type="dxa" w:w="3118"/>
          </w:tcPr>
          <w:p>
            <w:pPr>
              <w:spacing w:line="240" w:lineRule="auto" w:after="0"/>
              <w:ind w:firstLine="0"/>
              <w:jc w:val="center"/>
            </w:pPr>
            <w:r>
              <w:rPr>
                <w:rFonts w:ascii="Times New Roman" w:hAnsi="Times New Roman" w:eastAsia="Times New Roman"/>
                <w:b w:val="0"/>
                <w:sz w:val="24"/>
              </w:rPr>
              <w:t>24,4%</w:t>
            </w:r>
          </w:p>
        </w:tc>
        <w:tc>
          <w:tcPr>
            <w:tcW w:type="dxa" w:w="3118"/>
          </w:tcPr>
          <w:p>
            <w:pPr>
              <w:spacing w:line="240" w:lineRule="auto" w:after="0"/>
              <w:ind w:firstLine="0"/>
              <w:jc w:val="center"/>
            </w:pPr>
            <w:r>
              <w:rPr>
                <w:rFonts w:ascii="Times New Roman" w:hAnsi="Times New Roman" w:eastAsia="Times New Roman"/>
                <w:b w:val="0"/>
                <w:sz w:val="24"/>
              </w:rPr>
              <w:t>Regiunea Europeană: cca 39%</w:t>
            </w:r>
          </w:p>
        </w:tc>
      </w:tr>
    </w:tbl>
    <w:p>
      <w:pPr>
        <w:spacing w:line="240" w:lineRule="auto" w:after="160" w:before="0"/>
        <w:ind w:firstLine="0"/>
        <w:jc w:val="left"/>
      </w:pPr>
      <w:r>
        <w:rPr>
          <w:rFonts w:ascii="Times New Roman" w:hAnsi="Times New Roman" w:eastAsia="Times New Roman"/>
          <w:b w:val="0"/>
          <w:i/>
          <w:sz w:val="22"/>
        </w:rPr>
        <w:t>Notă: Sursă – Guvernul Republicii Moldova, 2026 (date naționale) și OMS, 2025 (date globale și regionale). Indicatorii nu sunt pe deplin comparabili din cauza diferențelor de denominator și metodologie.</w:t>
      </w:r>
    </w:p>
    <w:p>
      <w:pPr>
        <w:keepNext/>
        <w:spacing w:line="240" w:lineRule="auto" w:before="240" w:after="120"/>
        <w:ind w:firstLine="0"/>
        <w:jc w:val="center"/>
      </w:pPr>
      <w:r>
        <w:rPr>
          <w:rFonts w:ascii="Times New Roman" w:hAnsi="Times New Roman" w:eastAsia="Times New Roman"/>
          <w:b/>
          <w:sz w:val="28"/>
        </w:rPr>
        <w:t>CAPITOLUL V. MĂSURI EFICIENTE DE DEPISTARE PRECOCE</w:t>
      </w:r>
    </w:p>
    <w:p>
      <w:pPr>
        <w:spacing w:line="240" w:lineRule="auto" w:after="0" w:before="0"/>
        <w:ind w:firstLine="709"/>
        <w:jc w:val="both"/>
      </w:pPr>
      <w:r>
        <w:rPr>
          <w:rFonts w:ascii="Times New Roman" w:hAnsi="Times New Roman" w:eastAsia="Times New Roman"/>
          <w:b w:val="0"/>
          <w:i w:val="0"/>
          <w:sz w:val="28"/>
        </w:rPr>
        <w:t>Depistarea precoce a tuberculozei este una dintre cele mai eficiente măsuri de control, întrucât scurtează perioada de contagiozitate, îmbunătățește prognosticul individual și întrerupe lanțul de transmitere. Un diagnostic tardiv prelungește expunerea comunității și agravează evoluția bolii.</w:t>
      </w:r>
    </w:p>
    <w:p>
      <w:pPr>
        <w:keepNext/>
        <w:spacing w:line="240" w:lineRule="auto" w:before="160" w:after="120"/>
        <w:ind w:firstLine="0"/>
        <w:jc w:val="left"/>
      </w:pPr>
      <w:r>
        <w:rPr>
          <w:rFonts w:ascii="Times New Roman" w:hAnsi="Times New Roman" w:eastAsia="Times New Roman"/>
          <w:b/>
          <w:sz w:val="28"/>
        </w:rPr>
        <w:t>5.1. Identificarea simptomelor sugestive</w:t>
      </w:r>
    </w:p>
    <w:p>
      <w:pPr>
        <w:spacing w:line="240" w:lineRule="auto" w:after="0" w:before="0"/>
        <w:ind w:firstLine="709"/>
        <w:jc w:val="both"/>
      </w:pPr>
      <w:r>
        <w:rPr>
          <w:rFonts w:ascii="Times New Roman" w:hAnsi="Times New Roman" w:eastAsia="Times New Roman"/>
          <w:b w:val="0"/>
          <w:i w:val="0"/>
          <w:sz w:val="28"/>
        </w:rPr>
        <w:t>Simptomele clasice ale tuberculozei pulmonare includ tusea persistentă (de peste două–trei săptămâni), uneori cu expectorație sau hemoptizie, febra sau subfebrilitatea, transpirațiile nocturne, pierderea în greutate, inapetența și astenia. Recunoașterea acestor semne de către populație și de către personalul medical de prim contact este esențială pentru orientarea rapidă către investigații.</w:t>
      </w:r>
    </w:p>
    <w:p>
      <w:pPr>
        <w:keepNext/>
        <w:spacing w:line="240" w:lineRule="auto" w:before="160" w:after="120"/>
        <w:ind w:firstLine="0"/>
        <w:jc w:val="left"/>
      </w:pPr>
      <w:r>
        <w:rPr>
          <w:rFonts w:ascii="Times New Roman" w:hAnsi="Times New Roman" w:eastAsia="Times New Roman"/>
          <w:b/>
          <w:sz w:val="28"/>
        </w:rPr>
        <w:t>5.2. Depistarea pasivă și depistarea activă</w:t>
      </w:r>
    </w:p>
    <w:p>
      <w:pPr>
        <w:spacing w:line="240" w:lineRule="auto" w:after="0" w:before="0"/>
        <w:ind w:firstLine="709"/>
        <w:jc w:val="both"/>
      </w:pPr>
      <w:r>
        <w:rPr>
          <w:rFonts w:ascii="Times New Roman" w:hAnsi="Times New Roman" w:eastAsia="Times New Roman"/>
          <w:b w:val="0"/>
          <w:i w:val="0"/>
          <w:sz w:val="28"/>
        </w:rPr>
        <w:t>Depistarea pasivă se bazează pe prezentarea spontană a persoanei simptomatice la medic, în timp ce depistarea activă (screeningul sistematic) presupune căutarea cazurilor în grupurile cu risc crescut, înainte de apariția simptomelor sau în faze precoce. Screeningul sistematic este recomandat de OMS pentru contacții persoanelor cu tuberculoză și pentru grupurile vulnerabile (OMS, 2021). În Republica Moldova, screeningul activ a fost consolidat prin utilizarea instalațiilor radiologice mobile dotate cu sisteme de detecție asistată de calculator (inteligență artificială), inclusiv în zonele rurale și în rândul grupurilor greu accesibile (Guvernul Republicii Moldova, 2026).</w:t>
      </w:r>
    </w:p>
    <w:p>
      <w:pPr>
        <w:keepNext/>
        <w:spacing w:line="240" w:lineRule="auto" w:before="160" w:after="120"/>
        <w:ind w:firstLine="0"/>
        <w:jc w:val="left"/>
      </w:pPr>
      <w:r>
        <w:rPr>
          <w:rFonts w:ascii="Times New Roman" w:hAnsi="Times New Roman" w:eastAsia="Times New Roman"/>
          <w:b/>
          <w:sz w:val="28"/>
        </w:rPr>
        <w:t>5.3. Radiografia toracică</w:t>
      </w:r>
    </w:p>
    <w:p>
      <w:pPr>
        <w:spacing w:line="240" w:lineRule="auto" w:after="0" w:before="0"/>
        <w:ind w:firstLine="709"/>
        <w:jc w:val="both"/>
      </w:pPr>
      <w:r>
        <w:rPr>
          <w:rFonts w:ascii="Times New Roman" w:hAnsi="Times New Roman" w:eastAsia="Times New Roman"/>
          <w:b w:val="0"/>
          <w:i w:val="0"/>
          <w:sz w:val="28"/>
        </w:rPr>
        <w:t>Radiografia toracică este o metodă sensibilă de depistare, utilă în special ca test de triaj în screeningul populațiilor cu risc. Ea evidențiază modificările sugestive pentru tuberculoză, dar nu permite confirmarea etiologică, motiv pentru care rezultatele trebuie întotdeauna completate cu investigații microbiologice. Integrarea software-ului de detecție asistată de calculator a crescut capacitatea de interpretare rapidă în cadrul campaniilor de screening (OMS, 2021).</w:t>
      </w:r>
    </w:p>
    <w:p>
      <w:pPr>
        <w:keepNext/>
        <w:spacing w:line="240" w:lineRule="auto" w:before="160" w:after="120"/>
        <w:ind w:firstLine="0"/>
        <w:jc w:val="left"/>
      </w:pPr>
      <w:r>
        <w:rPr>
          <w:rFonts w:ascii="Times New Roman" w:hAnsi="Times New Roman" w:eastAsia="Times New Roman"/>
          <w:b/>
          <w:sz w:val="28"/>
        </w:rPr>
        <w:t>5.4. Testele microbiologice: metode rapide, microscopie și cultură</w:t>
      </w:r>
    </w:p>
    <w:p>
      <w:pPr>
        <w:spacing w:line="240" w:lineRule="auto" w:after="0" w:before="0"/>
        <w:ind w:firstLine="709"/>
        <w:jc w:val="both"/>
      </w:pPr>
      <w:r>
        <w:rPr>
          <w:rFonts w:ascii="Times New Roman" w:hAnsi="Times New Roman" w:eastAsia="Times New Roman"/>
          <w:b w:val="0"/>
          <w:i w:val="0"/>
          <w:sz w:val="28"/>
        </w:rPr>
        <w:t>Confirmarea diagnosticului se bazează pe metode microbiologice. Testele moleculare rapide recomandate de OMS, precum GeneXpert MTB/RIF, permit detectarea simultană a Mycobacterium tuberculosis și a rezistenței la rifampicină în câteva ore. Republica Moldova este un pionier regional în acest domeniu, implementând tehnologia GeneXpert încă din anul 2011 în toate instituțiile de nivel secundar, iar din 2022 utilizând versiunea extinsă GeneXpert MTB/XDR pentru detectarea rezistenței extinse (Guvernul Republicii Moldova, 2026). Microscopia sputei (pentru BAAR) rămâne o metodă rapidă și ieftină, dar cu sensibilitate mai redusă, utilă pentru aprecierea contagiozității. Cultura micobacteriană este metoda de referință (standardul de aur), cu sensibilitate înaltă și posibilitatea testării complete a sensibilității la medicamente, însă are dezavantajul unui timp lung până la obținerea rezultatului, din cauza creșterii lente a bacilului.</w:t>
      </w:r>
    </w:p>
    <w:p>
      <w:pPr>
        <w:keepNext/>
        <w:spacing w:line="240" w:lineRule="auto" w:before="160" w:after="120"/>
        <w:ind w:firstLine="0"/>
        <w:jc w:val="left"/>
      </w:pPr>
      <w:r>
        <w:rPr>
          <w:rFonts w:ascii="Times New Roman" w:hAnsi="Times New Roman" w:eastAsia="Times New Roman"/>
          <w:b/>
          <w:sz w:val="28"/>
        </w:rPr>
        <w:t>5.5. Diagnosticul la persoanele vulnerabile și investigarea contacților</w:t>
      </w:r>
    </w:p>
    <w:p>
      <w:pPr>
        <w:spacing w:line="240" w:lineRule="auto" w:after="0" w:before="0"/>
        <w:ind w:firstLine="709"/>
        <w:jc w:val="both"/>
      </w:pPr>
      <w:r>
        <w:rPr>
          <w:rFonts w:ascii="Times New Roman" w:hAnsi="Times New Roman" w:eastAsia="Times New Roman"/>
          <w:b w:val="0"/>
          <w:i w:val="0"/>
          <w:sz w:val="28"/>
        </w:rPr>
        <w:t>La persoanele cu HIV, la copii și la alte grupuri vulnerabile, diagnosticul poate fi dificil din cauza formelor atipice sau paucibacilare. Investigarea contacților persoanelor diagnosticate și depistarea infecției tuberculoase latente prin testul cutanat la tuberculină (TCT) sau prin testele de eliberare a interferonului gamma (IGRA) permit identificarea persoanelor infectate care pot beneficia de tratament preventiv. În anul 2024, din numărul total al contacților luați la evidență, 82,7% au fost examinați prin metode clinice și paraclinice (Ministerul Sănătății, 2025).</w:t>
      </w:r>
    </w:p>
    <w:p>
      <w:pPr>
        <w:keepNext/>
        <w:spacing w:line="240" w:lineRule="auto" w:before="160" w:after="120"/>
        <w:ind w:firstLine="0"/>
        <w:jc w:val="left"/>
      </w:pPr>
      <w:r>
        <w:rPr>
          <w:rFonts w:ascii="Times New Roman" w:hAnsi="Times New Roman" w:eastAsia="Times New Roman"/>
          <w:b/>
          <w:sz w:val="28"/>
        </w:rPr>
        <w:t>5.6. Barierele în diagnostic și reducerea întârzierilor</w:t>
      </w:r>
    </w:p>
    <w:p>
      <w:pPr>
        <w:spacing w:line="240" w:lineRule="auto" w:after="0" w:before="0"/>
        <w:ind w:firstLine="709"/>
        <w:jc w:val="both"/>
      </w:pPr>
      <w:r>
        <w:rPr>
          <w:rFonts w:ascii="Times New Roman" w:hAnsi="Times New Roman" w:eastAsia="Times New Roman"/>
          <w:b w:val="0"/>
          <w:i w:val="0"/>
          <w:sz w:val="28"/>
        </w:rPr>
        <w:t>Principalele bariere în calea diagnosticului precoce includ adresarea tardivă la medic, stigmatizarea, accesul limitat la servicii în mediul rural și în rândul grupurilor marginalizate, precum și formele paucibacilare dificil de confirmat. Reducerea întârzierilor se obține prin educația populației, descentralizarea serviciilor de diagnostic, utilizarea testelor rapide și a unităților mobile de screening. Principalele metode de depistare precoce, rolul și limitele lor sunt sintetizate în Tabelul 5.</w:t>
      </w:r>
    </w:p>
    <w:p>
      <w:pPr>
        <w:keepNext/>
        <w:spacing w:line="240" w:lineRule="auto" w:after="40" w:before="0"/>
        <w:ind w:firstLine="0"/>
        <w:jc w:val="center"/>
      </w:pPr>
      <w:r>
        <w:rPr>
          <w:rFonts w:ascii="Times New Roman" w:hAnsi="Times New Roman" w:eastAsia="Times New Roman"/>
          <w:b/>
          <w:i w:val="0"/>
          <w:sz w:val="24"/>
        </w:rPr>
        <w:t>Tabelul 5. Metode de depistare precoce și de diagnostic al tuberculozei pulmonare</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spacing w:line="240" w:lineRule="auto" w:after="0"/>
              <w:ind w:firstLine="0"/>
              <w:jc w:val="center"/>
            </w:pPr>
            <w:r>
              <w:rPr>
                <w:rFonts w:ascii="Times New Roman" w:hAnsi="Times New Roman" w:eastAsia="Times New Roman"/>
                <w:b/>
                <w:sz w:val="24"/>
              </w:rPr>
              <w:t>Metoda</w:t>
            </w:r>
          </w:p>
        </w:tc>
        <w:tc>
          <w:tcPr>
            <w:tcW w:type="dxa" w:w="3118"/>
          </w:tcPr>
          <w:p>
            <w:pPr>
              <w:spacing w:line="240" w:lineRule="auto" w:after="0"/>
              <w:ind w:firstLine="0"/>
              <w:jc w:val="center"/>
            </w:pPr>
            <w:r>
              <w:rPr>
                <w:rFonts w:ascii="Times New Roman" w:hAnsi="Times New Roman" w:eastAsia="Times New Roman"/>
                <w:b/>
                <w:sz w:val="24"/>
              </w:rPr>
              <w:t>Rolul principal</w:t>
            </w:r>
          </w:p>
        </w:tc>
        <w:tc>
          <w:tcPr>
            <w:tcW w:type="dxa" w:w="3118"/>
          </w:tcPr>
          <w:p>
            <w:pPr>
              <w:spacing w:line="240" w:lineRule="auto" w:after="0"/>
              <w:ind w:firstLine="0"/>
              <w:jc w:val="center"/>
            </w:pPr>
            <w:r>
              <w:rPr>
                <w:rFonts w:ascii="Times New Roman" w:hAnsi="Times New Roman" w:eastAsia="Times New Roman"/>
                <w:b/>
                <w:sz w:val="24"/>
              </w:rPr>
              <w:t>Limite</w:t>
            </w:r>
          </w:p>
        </w:tc>
      </w:tr>
      <w:tr>
        <w:tc>
          <w:tcPr>
            <w:tcW w:type="dxa" w:w="3118"/>
          </w:tcPr>
          <w:p>
            <w:pPr>
              <w:spacing w:line="240" w:lineRule="auto" w:after="0"/>
              <w:ind w:firstLine="0"/>
              <w:jc w:val="left"/>
            </w:pPr>
            <w:r>
              <w:rPr>
                <w:rFonts w:ascii="Times New Roman" w:hAnsi="Times New Roman" w:eastAsia="Times New Roman"/>
                <w:b w:val="0"/>
                <w:sz w:val="24"/>
              </w:rPr>
              <w:t>Evaluarea simptomelor</w:t>
            </w:r>
          </w:p>
        </w:tc>
        <w:tc>
          <w:tcPr>
            <w:tcW w:type="dxa" w:w="3118"/>
          </w:tcPr>
          <w:p>
            <w:pPr>
              <w:spacing w:line="240" w:lineRule="auto" w:after="0"/>
              <w:ind w:firstLine="0"/>
              <w:jc w:val="center"/>
            </w:pPr>
            <w:r>
              <w:rPr>
                <w:rFonts w:ascii="Times New Roman" w:hAnsi="Times New Roman" w:eastAsia="Times New Roman"/>
                <w:b w:val="0"/>
                <w:sz w:val="24"/>
              </w:rPr>
              <w:t>Triaj inițial, orientare către investigații</w:t>
            </w:r>
          </w:p>
        </w:tc>
        <w:tc>
          <w:tcPr>
            <w:tcW w:type="dxa" w:w="3118"/>
          </w:tcPr>
          <w:p>
            <w:pPr>
              <w:spacing w:line="240" w:lineRule="auto" w:after="0"/>
              <w:ind w:firstLine="0"/>
              <w:jc w:val="center"/>
            </w:pPr>
            <w:r>
              <w:rPr>
                <w:rFonts w:ascii="Times New Roman" w:hAnsi="Times New Roman" w:eastAsia="Times New Roman"/>
                <w:b w:val="0"/>
                <w:sz w:val="24"/>
              </w:rPr>
              <w:t>Nespecifică; absentă în formele precoce</w:t>
            </w:r>
          </w:p>
        </w:tc>
      </w:tr>
      <w:tr>
        <w:tc>
          <w:tcPr>
            <w:tcW w:type="dxa" w:w="3118"/>
          </w:tcPr>
          <w:p>
            <w:pPr>
              <w:spacing w:line="240" w:lineRule="auto" w:after="0"/>
              <w:ind w:firstLine="0"/>
              <w:jc w:val="left"/>
            </w:pPr>
            <w:r>
              <w:rPr>
                <w:rFonts w:ascii="Times New Roman" w:hAnsi="Times New Roman" w:eastAsia="Times New Roman"/>
                <w:b w:val="0"/>
                <w:sz w:val="24"/>
              </w:rPr>
              <w:t>Radiografia toracică</w:t>
            </w:r>
          </w:p>
        </w:tc>
        <w:tc>
          <w:tcPr>
            <w:tcW w:type="dxa" w:w="3118"/>
          </w:tcPr>
          <w:p>
            <w:pPr>
              <w:spacing w:line="240" w:lineRule="auto" w:after="0"/>
              <w:ind w:firstLine="0"/>
              <w:jc w:val="center"/>
            </w:pPr>
            <w:r>
              <w:rPr>
                <w:rFonts w:ascii="Times New Roman" w:hAnsi="Times New Roman" w:eastAsia="Times New Roman"/>
                <w:b w:val="0"/>
                <w:sz w:val="24"/>
              </w:rPr>
              <w:t>Test de triaj sensibil în screening</w:t>
            </w:r>
          </w:p>
        </w:tc>
        <w:tc>
          <w:tcPr>
            <w:tcW w:type="dxa" w:w="3118"/>
          </w:tcPr>
          <w:p>
            <w:pPr>
              <w:spacing w:line="240" w:lineRule="auto" w:after="0"/>
              <w:ind w:firstLine="0"/>
              <w:jc w:val="center"/>
            </w:pPr>
            <w:r>
              <w:rPr>
                <w:rFonts w:ascii="Times New Roman" w:hAnsi="Times New Roman" w:eastAsia="Times New Roman"/>
                <w:b w:val="0"/>
                <w:sz w:val="24"/>
              </w:rPr>
              <w:t>Nu confirmă etiologia; necesită confirmare</w:t>
            </w:r>
          </w:p>
        </w:tc>
      </w:tr>
      <w:tr>
        <w:tc>
          <w:tcPr>
            <w:tcW w:type="dxa" w:w="3118"/>
          </w:tcPr>
          <w:p>
            <w:pPr>
              <w:spacing w:line="240" w:lineRule="auto" w:after="0"/>
              <w:ind w:firstLine="0"/>
              <w:jc w:val="left"/>
            </w:pPr>
            <w:r>
              <w:rPr>
                <w:rFonts w:ascii="Times New Roman" w:hAnsi="Times New Roman" w:eastAsia="Times New Roman"/>
                <w:b w:val="0"/>
                <w:sz w:val="24"/>
              </w:rPr>
              <w:t>Testul molecular rapid (GeneXpert)</w:t>
            </w:r>
          </w:p>
        </w:tc>
        <w:tc>
          <w:tcPr>
            <w:tcW w:type="dxa" w:w="3118"/>
          </w:tcPr>
          <w:p>
            <w:pPr>
              <w:spacing w:line="240" w:lineRule="auto" w:after="0"/>
              <w:ind w:firstLine="0"/>
              <w:jc w:val="center"/>
            </w:pPr>
            <w:r>
              <w:rPr>
                <w:rFonts w:ascii="Times New Roman" w:hAnsi="Times New Roman" w:eastAsia="Times New Roman"/>
                <w:b w:val="0"/>
                <w:sz w:val="24"/>
              </w:rPr>
              <w:t>Confirmare rapidă + rezistența la rifampicină</w:t>
            </w:r>
          </w:p>
        </w:tc>
        <w:tc>
          <w:tcPr>
            <w:tcW w:type="dxa" w:w="3118"/>
          </w:tcPr>
          <w:p>
            <w:pPr>
              <w:spacing w:line="240" w:lineRule="auto" w:after="0"/>
              <w:ind w:firstLine="0"/>
              <w:jc w:val="center"/>
            </w:pPr>
            <w:r>
              <w:rPr>
                <w:rFonts w:ascii="Times New Roman" w:hAnsi="Times New Roman" w:eastAsia="Times New Roman"/>
                <w:b w:val="0"/>
                <w:sz w:val="24"/>
              </w:rPr>
              <w:t>Cost; nu înlocuiește cultura pentru profilul complet</w:t>
            </w:r>
          </w:p>
        </w:tc>
      </w:tr>
      <w:tr>
        <w:tc>
          <w:tcPr>
            <w:tcW w:type="dxa" w:w="3118"/>
          </w:tcPr>
          <w:p>
            <w:pPr>
              <w:spacing w:line="240" w:lineRule="auto" w:after="0"/>
              <w:ind w:firstLine="0"/>
              <w:jc w:val="left"/>
            </w:pPr>
            <w:r>
              <w:rPr>
                <w:rFonts w:ascii="Times New Roman" w:hAnsi="Times New Roman" w:eastAsia="Times New Roman"/>
                <w:b w:val="0"/>
                <w:sz w:val="24"/>
              </w:rPr>
              <w:t>Microscopia sputei (BAAR)</w:t>
            </w:r>
          </w:p>
        </w:tc>
        <w:tc>
          <w:tcPr>
            <w:tcW w:type="dxa" w:w="3118"/>
          </w:tcPr>
          <w:p>
            <w:pPr>
              <w:spacing w:line="240" w:lineRule="auto" w:after="0"/>
              <w:ind w:firstLine="0"/>
              <w:jc w:val="center"/>
            </w:pPr>
            <w:r>
              <w:rPr>
                <w:rFonts w:ascii="Times New Roman" w:hAnsi="Times New Roman" w:eastAsia="Times New Roman"/>
                <w:b w:val="0"/>
                <w:sz w:val="24"/>
              </w:rPr>
              <w:t>Rapidă, ieftină; apreciază contagiozitatea</w:t>
            </w:r>
          </w:p>
        </w:tc>
        <w:tc>
          <w:tcPr>
            <w:tcW w:type="dxa" w:w="3118"/>
          </w:tcPr>
          <w:p>
            <w:pPr>
              <w:spacing w:line="240" w:lineRule="auto" w:after="0"/>
              <w:ind w:firstLine="0"/>
              <w:jc w:val="center"/>
            </w:pPr>
            <w:r>
              <w:rPr>
                <w:rFonts w:ascii="Times New Roman" w:hAnsi="Times New Roman" w:eastAsia="Times New Roman"/>
                <w:b w:val="0"/>
                <w:sz w:val="24"/>
              </w:rPr>
              <w:t>Sensibilitate redusă în formele paucibacilare</w:t>
            </w:r>
          </w:p>
        </w:tc>
      </w:tr>
      <w:tr>
        <w:tc>
          <w:tcPr>
            <w:tcW w:type="dxa" w:w="3118"/>
          </w:tcPr>
          <w:p>
            <w:pPr>
              <w:spacing w:line="240" w:lineRule="auto" w:after="0"/>
              <w:ind w:firstLine="0"/>
              <w:jc w:val="left"/>
            </w:pPr>
            <w:r>
              <w:rPr>
                <w:rFonts w:ascii="Times New Roman" w:hAnsi="Times New Roman" w:eastAsia="Times New Roman"/>
                <w:b w:val="0"/>
                <w:sz w:val="24"/>
              </w:rPr>
              <w:t>Cultura micobacteriană</w:t>
            </w:r>
          </w:p>
        </w:tc>
        <w:tc>
          <w:tcPr>
            <w:tcW w:type="dxa" w:w="3118"/>
          </w:tcPr>
          <w:p>
            <w:pPr>
              <w:spacing w:line="240" w:lineRule="auto" w:after="0"/>
              <w:ind w:firstLine="0"/>
              <w:jc w:val="center"/>
            </w:pPr>
            <w:r>
              <w:rPr>
                <w:rFonts w:ascii="Times New Roman" w:hAnsi="Times New Roman" w:eastAsia="Times New Roman"/>
                <w:b w:val="0"/>
                <w:sz w:val="24"/>
              </w:rPr>
              <w:t>Standardul de aur; testarea sensibilității</w:t>
            </w:r>
          </w:p>
        </w:tc>
        <w:tc>
          <w:tcPr>
            <w:tcW w:type="dxa" w:w="3118"/>
          </w:tcPr>
          <w:p>
            <w:pPr>
              <w:spacing w:line="240" w:lineRule="auto" w:after="0"/>
              <w:ind w:firstLine="0"/>
              <w:jc w:val="center"/>
            </w:pPr>
            <w:r>
              <w:rPr>
                <w:rFonts w:ascii="Times New Roman" w:hAnsi="Times New Roman" w:eastAsia="Times New Roman"/>
                <w:b w:val="0"/>
                <w:sz w:val="24"/>
              </w:rPr>
              <w:t>Rezultat lent (săptămâni)</w:t>
            </w:r>
          </w:p>
        </w:tc>
      </w:tr>
      <w:tr>
        <w:tc>
          <w:tcPr>
            <w:tcW w:type="dxa" w:w="3118"/>
          </w:tcPr>
          <w:p>
            <w:pPr>
              <w:spacing w:line="240" w:lineRule="auto" w:after="0"/>
              <w:ind w:firstLine="0"/>
              <w:jc w:val="left"/>
            </w:pPr>
            <w:r>
              <w:rPr>
                <w:rFonts w:ascii="Times New Roman" w:hAnsi="Times New Roman" w:eastAsia="Times New Roman"/>
                <w:b w:val="0"/>
                <w:sz w:val="24"/>
              </w:rPr>
              <w:t>TCT / IGRA</w:t>
            </w:r>
          </w:p>
        </w:tc>
        <w:tc>
          <w:tcPr>
            <w:tcW w:type="dxa" w:w="3118"/>
          </w:tcPr>
          <w:p>
            <w:pPr>
              <w:spacing w:line="240" w:lineRule="auto" w:after="0"/>
              <w:ind w:firstLine="0"/>
              <w:jc w:val="center"/>
            </w:pPr>
            <w:r>
              <w:rPr>
                <w:rFonts w:ascii="Times New Roman" w:hAnsi="Times New Roman" w:eastAsia="Times New Roman"/>
                <w:b w:val="0"/>
                <w:sz w:val="24"/>
              </w:rPr>
              <w:t>Depistarea infecției tuberculoase latente</w:t>
            </w:r>
          </w:p>
        </w:tc>
        <w:tc>
          <w:tcPr>
            <w:tcW w:type="dxa" w:w="3118"/>
          </w:tcPr>
          <w:p>
            <w:pPr>
              <w:spacing w:line="240" w:lineRule="auto" w:after="0"/>
              <w:ind w:firstLine="0"/>
              <w:jc w:val="center"/>
            </w:pPr>
            <w:r>
              <w:rPr>
                <w:rFonts w:ascii="Times New Roman" w:hAnsi="Times New Roman" w:eastAsia="Times New Roman"/>
                <w:b w:val="0"/>
                <w:sz w:val="24"/>
              </w:rPr>
              <w:t>Nu disting infecția latentă de boala activă</w:t>
            </w:r>
          </w:p>
        </w:tc>
      </w:tr>
    </w:tbl>
    <w:p>
      <w:pPr>
        <w:spacing w:line="240" w:lineRule="auto" w:after="160" w:before="0"/>
        <w:ind w:firstLine="0"/>
        <w:jc w:val="left"/>
      </w:pPr>
      <w:r>
        <w:rPr>
          <w:rFonts w:ascii="Times New Roman" w:hAnsi="Times New Roman" w:eastAsia="Times New Roman"/>
          <w:b w:val="0"/>
          <w:i/>
          <w:sz w:val="22"/>
        </w:rPr>
        <w:t>Notă: Sinteză pe baza surselor OMS, 2021 și Guvernul Republicii Moldova, 2026.</w:t>
      </w:r>
    </w:p>
    <w:p>
      <w:pPr>
        <w:keepNext/>
        <w:spacing w:line="240" w:lineRule="auto" w:before="240" w:after="120"/>
        <w:ind w:firstLine="0"/>
        <w:jc w:val="center"/>
      </w:pPr>
      <w:r>
        <w:rPr>
          <w:rFonts w:ascii="Times New Roman" w:hAnsi="Times New Roman" w:eastAsia="Times New Roman"/>
          <w:b/>
          <w:sz w:val="28"/>
        </w:rPr>
        <w:t>CAPITOLUL VI. MĂSURI EFICIENTE DE PROFILAXIE</w:t>
      </w:r>
    </w:p>
    <w:p>
      <w:pPr>
        <w:spacing w:line="240" w:lineRule="auto" w:after="0" w:before="0"/>
        <w:ind w:firstLine="709"/>
        <w:jc w:val="both"/>
      </w:pPr>
      <w:r>
        <w:rPr>
          <w:rFonts w:ascii="Times New Roman" w:hAnsi="Times New Roman" w:eastAsia="Times New Roman"/>
          <w:b w:val="0"/>
          <w:i w:val="0"/>
          <w:sz w:val="28"/>
        </w:rPr>
        <w:t>Profilaxia tuberculozei cuprinde ansamblul măsurilor destinate prevenirii infectării, a progresiei spre boală activă și a transmiterii în comunitate. Aceste măsuri se împart, din perspectivă igienică, în măsuri care vizează mediul, măsuri care vizează sursa de infecție și măsuri care vizează persoana receptivă.</w:t>
      </w:r>
    </w:p>
    <w:p>
      <w:pPr>
        <w:keepNext/>
        <w:spacing w:line="240" w:lineRule="auto" w:before="160" w:after="120"/>
        <w:ind w:firstLine="0"/>
        <w:jc w:val="left"/>
      </w:pPr>
      <w:r>
        <w:rPr>
          <w:rFonts w:ascii="Times New Roman" w:hAnsi="Times New Roman" w:eastAsia="Times New Roman"/>
          <w:b/>
          <w:sz w:val="28"/>
        </w:rPr>
        <w:t>6.1. Măsuri igienico-sanitare în locuințe și instituții</w:t>
      </w:r>
    </w:p>
    <w:p>
      <w:pPr>
        <w:spacing w:line="240" w:lineRule="auto" w:after="0" w:before="0"/>
        <w:ind w:firstLine="709"/>
        <w:jc w:val="both"/>
      </w:pPr>
      <w:r>
        <w:rPr>
          <w:rFonts w:ascii="Times New Roman" w:hAnsi="Times New Roman" w:eastAsia="Times New Roman"/>
          <w:b w:val="0"/>
          <w:i w:val="0"/>
          <w:sz w:val="28"/>
        </w:rPr>
        <w:t>Îmbunătățirea condițiilor de locuire, reducerea supraaglomerării, asigurarea unei ventilații adecvate și a iluminării naturale constituie prima linie de apărare împotriva transmiterii aeriene. În instituțiile cu risc – unități medicale, penitenciare, adăposturi – controlul infecției presupune ventilație adecvată, separarea pacienților contagioși și aplicarea măsurilor administrative de identificare rapidă a cazurilor (OMS, 2019).</w:t>
      </w:r>
    </w:p>
    <w:p>
      <w:pPr>
        <w:keepNext/>
        <w:spacing w:line="240" w:lineRule="auto" w:before="160" w:after="120"/>
        <w:ind w:firstLine="0"/>
        <w:jc w:val="left"/>
      </w:pPr>
      <w:r>
        <w:rPr>
          <w:rFonts w:ascii="Times New Roman" w:hAnsi="Times New Roman" w:eastAsia="Times New Roman"/>
          <w:b/>
          <w:sz w:val="28"/>
        </w:rPr>
        <w:t>6.2. Ventilația și reducerea riscului de transmitere aeriană</w:t>
      </w:r>
    </w:p>
    <w:p>
      <w:pPr>
        <w:spacing w:line="240" w:lineRule="auto" w:after="0" w:before="0"/>
        <w:ind w:firstLine="709"/>
        <w:jc w:val="both"/>
      </w:pPr>
      <w:r>
        <w:rPr>
          <w:rFonts w:ascii="Times New Roman" w:hAnsi="Times New Roman" w:eastAsia="Times New Roman"/>
          <w:b w:val="0"/>
          <w:i w:val="0"/>
          <w:sz w:val="28"/>
        </w:rPr>
        <w:t>Ventilarea spațiilor, naturală sau mecanică, rămâne una dintre cele mai eficiente măsuri de reducere a concentrației particulelor infectante. În spațiile cu risc crescut, aceasta este completată de iluminarea ultravioletă germicidă a aerului și de utilizarea echipamentelor de protecție respiratorie de către personalul medical, în cadrul unei ierarhii a măsurilor de control al infecției (administrative, de mediu și de protecție personală) (OMS, 2019).</w:t>
      </w:r>
    </w:p>
    <w:p>
      <w:pPr>
        <w:keepNext/>
        <w:spacing w:line="240" w:lineRule="auto" w:before="160" w:after="120"/>
        <w:ind w:firstLine="0"/>
        <w:jc w:val="left"/>
      </w:pPr>
      <w:r>
        <w:rPr>
          <w:rFonts w:ascii="Times New Roman" w:hAnsi="Times New Roman" w:eastAsia="Times New Roman"/>
          <w:b/>
          <w:sz w:val="28"/>
        </w:rPr>
        <w:t>6.3. Eticheta respiratorie și controlul infecției</w:t>
      </w:r>
    </w:p>
    <w:p>
      <w:pPr>
        <w:spacing w:line="240" w:lineRule="auto" w:after="0" w:before="0"/>
        <w:ind w:firstLine="709"/>
        <w:jc w:val="both"/>
      </w:pPr>
      <w:r>
        <w:rPr>
          <w:rFonts w:ascii="Times New Roman" w:hAnsi="Times New Roman" w:eastAsia="Times New Roman"/>
          <w:b w:val="0"/>
          <w:i w:val="0"/>
          <w:sz w:val="28"/>
        </w:rPr>
        <w:t>Educarea bolnavilor și a populației privind igiena respiratorie – acoperirea gurii la tuse, utilizarea măștilor de către persoanele contagioase, eliminarea igienică a sputei – reduce dispersia particulelor infectante. Aceste măsuri simple sunt deosebit de importante în perioada premergătoare diagnosticului și în primele zile de tratament.</w:t>
      </w:r>
    </w:p>
    <w:p>
      <w:pPr>
        <w:keepNext/>
        <w:spacing w:line="240" w:lineRule="auto" w:before="160" w:after="120"/>
        <w:ind w:firstLine="0"/>
        <w:jc w:val="left"/>
      </w:pPr>
      <w:r>
        <w:rPr>
          <w:rFonts w:ascii="Times New Roman" w:hAnsi="Times New Roman" w:eastAsia="Times New Roman"/>
          <w:b/>
          <w:sz w:val="28"/>
        </w:rPr>
        <w:t>6.4. Vaccinarea BCG</w:t>
      </w:r>
    </w:p>
    <w:p>
      <w:pPr>
        <w:spacing w:line="240" w:lineRule="auto" w:after="0" w:before="0"/>
        <w:ind w:firstLine="709"/>
        <w:jc w:val="both"/>
      </w:pPr>
      <w:r>
        <w:rPr>
          <w:rFonts w:ascii="Times New Roman" w:hAnsi="Times New Roman" w:eastAsia="Times New Roman"/>
          <w:b w:val="0"/>
          <w:i w:val="0"/>
          <w:sz w:val="28"/>
        </w:rPr>
        <w:t>Vaccinul Bacillus Calmette-Guérin (BCG) protejează, în special, împotriva formelor grave de tuberculoză la copilul mic (tuberculoza miliară și meningita tuberculoasă), dar oferă o protecție limitată împotriva tuberculozei pulmonare la adult. În Republica Moldova, vaccinarea BCG a nou-născuților face parte din programul național de imunizări, iar programul de răspuns la tuberculoză își propune menținerea unei acoperiri vaccinale de cel puțin 95% la nou-născuți (Guvernul Republicii Moldova, 2026).</w:t>
      </w:r>
    </w:p>
    <w:p>
      <w:pPr>
        <w:keepNext/>
        <w:spacing w:line="240" w:lineRule="auto" w:before="160" w:after="120"/>
        <w:ind w:firstLine="0"/>
        <w:jc w:val="left"/>
      </w:pPr>
      <w:r>
        <w:rPr>
          <w:rFonts w:ascii="Times New Roman" w:hAnsi="Times New Roman" w:eastAsia="Times New Roman"/>
          <w:b/>
          <w:sz w:val="28"/>
        </w:rPr>
        <w:t>6.5. Tratamentul preventiv al infecției tuberculoase</w:t>
      </w:r>
    </w:p>
    <w:p>
      <w:pPr>
        <w:spacing w:line="240" w:lineRule="auto" w:after="0" w:before="0"/>
        <w:ind w:firstLine="709"/>
        <w:jc w:val="both"/>
      </w:pPr>
      <w:r>
        <w:rPr>
          <w:rFonts w:ascii="Times New Roman" w:hAnsi="Times New Roman" w:eastAsia="Times New Roman"/>
          <w:b w:val="0"/>
          <w:i w:val="0"/>
          <w:sz w:val="28"/>
        </w:rPr>
        <w:t>Tratamentul preventiv al tuberculozei se adresează persoanelor cu infecție latentă aflate la risc crescut de progresie (contacți, persoane cu HIV), reducând probabilitatea de dezvoltare a bolii active. Republica Moldova a introdus regimuri scurte de tratament preventiv, reducând progresiv durata de la 6 luni la regimul 3HP (3 luni, izoniazidă și rifapentină) și ulterior la regimul 1HP (o lună), ceea ce a crescut acceptabilitatea și aderența (Guvernul Republicii Moldova, 2026).</w:t>
      </w:r>
    </w:p>
    <w:p>
      <w:pPr>
        <w:keepNext/>
        <w:spacing w:line="240" w:lineRule="auto" w:before="160" w:after="120"/>
        <w:ind w:firstLine="0"/>
        <w:jc w:val="left"/>
      </w:pPr>
      <w:r>
        <w:rPr>
          <w:rFonts w:ascii="Times New Roman" w:hAnsi="Times New Roman" w:eastAsia="Times New Roman"/>
          <w:b/>
          <w:sz w:val="28"/>
        </w:rPr>
        <w:t>6.6. Depistarea și tratamentul precoce al bolii active</w:t>
      </w:r>
    </w:p>
    <w:p>
      <w:pPr>
        <w:spacing w:line="240" w:lineRule="auto" w:after="0" w:before="0"/>
        <w:ind w:firstLine="709"/>
        <w:jc w:val="both"/>
      </w:pPr>
      <w:r>
        <w:rPr>
          <w:rFonts w:ascii="Times New Roman" w:hAnsi="Times New Roman" w:eastAsia="Times New Roman"/>
          <w:b w:val="0"/>
          <w:i w:val="0"/>
          <w:sz w:val="28"/>
        </w:rPr>
        <w:t>Depistarea precoce și tratamentul prompt și complet al cazurilor active reprezintă, paradoxal, cea mai eficientă măsură de profilaxie la nivel populațional, întrucât un bolnav tratat corect devine rapid necontagios. Astfel, diagnosticul precoce (capitolul anterior) și profilaxia sunt strâns legate.</w:t>
      </w:r>
    </w:p>
    <w:p>
      <w:pPr>
        <w:keepNext/>
        <w:spacing w:line="240" w:lineRule="auto" w:before="160" w:after="120"/>
        <w:ind w:firstLine="0"/>
        <w:jc w:val="left"/>
      </w:pPr>
      <w:r>
        <w:rPr>
          <w:rFonts w:ascii="Times New Roman" w:hAnsi="Times New Roman" w:eastAsia="Times New Roman"/>
          <w:b/>
          <w:sz w:val="28"/>
        </w:rPr>
        <w:t>6.7. Aderența la tratament și prevenirea rezistenței</w:t>
      </w:r>
    </w:p>
    <w:p>
      <w:pPr>
        <w:spacing w:line="240" w:lineRule="auto" w:after="0" w:before="0"/>
        <w:ind w:firstLine="709"/>
        <w:jc w:val="both"/>
      </w:pPr>
      <w:r>
        <w:rPr>
          <w:rFonts w:ascii="Times New Roman" w:hAnsi="Times New Roman" w:eastAsia="Times New Roman"/>
          <w:b w:val="0"/>
          <w:i w:val="0"/>
          <w:sz w:val="28"/>
        </w:rPr>
        <w:t>Aderența la tratament este esențială atât pentru vindecarea individuală, cât și pentru prevenirea apariției rezistenței la medicamente. Întreruperea sau administrarea incompletă a tratamentului favorizează selectarea bacililor rezistenți. Pentru susținerea aderenței, Republica Moldova aplică administrarea direct observată a tratamentului (DOT), tratamentul videoasistat (VST) și acordarea de stimulente pacienților aflați în tratament ambulatoriu (Guvernul Republicii Moldova, 2026).</w:t>
      </w:r>
    </w:p>
    <w:p>
      <w:pPr>
        <w:keepNext/>
        <w:spacing w:line="240" w:lineRule="auto" w:before="160" w:after="120"/>
        <w:ind w:firstLine="0"/>
        <w:jc w:val="left"/>
      </w:pPr>
      <w:r>
        <w:rPr>
          <w:rFonts w:ascii="Times New Roman" w:hAnsi="Times New Roman" w:eastAsia="Times New Roman"/>
          <w:b/>
          <w:sz w:val="28"/>
        </w:rPr>
        <w:t>6.8. Educația pentru sănătate și combaterea stigmatizării</w:t>
      </w:r>
    </w:p>
    <w:p>
      <w:pPr>
        <w:spacing w:line="240" w:lineRule="auto" w:after="0" w:before="0"/>
        <w:ind w:firstLine="709"/>
        <w:jc w:val="both"/>
      </w:pPr>
      <w:r>
        <w:rPr>
          <w:rFonts w:ascii="Times New Roman" w:hAnsi="Times New Roman" w:eastAsia="Times New Roman"/>
          <w:b w:val="0"/>
          <w:i w:val="0"/>
          <w:sz w:val="28"/>
        </w:rPr>
        <w:t>Educația pentru sănătate crește gradul de conștientizare privind simptomele, modul de transmitere și posibilitatea de vindecare a tuberculozei, încurajând adresarea precoce. Combaterea stigmatizării este la fel de importantă, deoarece teama de marginalizare întârzie diagnosticul și afectează aderența la tratament.</w:t>
      </w:r>
    </w:p>
    <w:p>
      <w:pPr>
        <w:keepNext/>
        <w:spacing w:line="240" w:lineRule="auto" w:before="160" w:after="120"/>
        <w:ind w:firstLine="0"/>
        <w:jc w:val="left"/>
      </w:pPr>
      <w:r>
        <w:rPr>
          <w:rFonts w:ascii="Times New Roman" w:hAnsi="Times New Roman" w:eastAsia="Times New Roman"/>
          <w:b/>
          <w:sz w:val="28"/>
        </w:rPr>
        <w:t>6.9. Rolul instituțiilor medicale, al autorităților și al comunității</w:t>
      </w:r>
    </w:p>
    <w:p>
      <w:pPr>
        <w:spacing w:line="240" w:lineRule="auto" w:after="0" w:before="0"/>
        <w:ind w:firstLine="709"/>
        <w:jc w:val="both"/>
      </w:pPr>
      <w:r>
        <w:rPr>
          <w:rFonts w:ascii="Times New Roman" w:hAnsi="Times New Roman" w:eastAsia="Times New Roman"/>
          <w:b w:val="0"/>
          <w:i w:val="0"/>
          <w:sz w:val="28"/>
        </w:rPr>
        <w:t>Controlul eficient al tuberculozei necesită o abordare intersectorială și o colaborare între instituțiile medicale, autoritățile publice, societatea civilă și comunitățile afectate. În Republica Moldova, acest răspuns este coordonat de Ministerul Sănătății prin Programul național de răspuns la tuberculoză pentru anii 2026–2030, care stabilește obiective privind screeningul sistematic, diagnosticul precoce, tratamentul de calitate, prevenirea și reducerea poverii sociale a bolii (Guvernul Republicii Moldova, 2026). Principalele măsuri de profilaxie și efectele lor sunt sintetizate în Tabelul 6.</w:t>
      </w:r>
    </w:p>
    <w:p>
      <w:pPr>
        <w:keepNext/>
        <w:spacing w:line="240" w:lineRule="auto" w:after="40" w:before="0"/>
        <w:ind w:firstLine="0"/>
        <w:jc w:val="center"/>
      </w:pPr>
      <w:r>
        <w:rPr>
          <w:rFonts w:ascii="Times New Roman" w:hAnsi="Times New Roman" w:eastAsia="Times New Roman"/>
          <w:b/>
          <w:i w:val="0"/>
          <w:sz w:val="24"/>
        </w:rPr>
        <w:t>Tabelul 6. Principalele măsuri de profilaxie a tuberculozei și efectele lor</w:t>
      </w:r>
    </w:p>
    <w:tbl>
      <w:tblPr>
        <w:tblStyle w:val="TableGrid"/>
        <w:tblW w:type="auto" w:w="0"/>
        <w:jc w:val="center"/>
        <w:tblLook w:firstColumn="1" w:firstRow="1" w:lastColumn="0" w:lastRow="0" w:noHBand="0" w:noVBand="1" w:val="04A0"/>
      </w:tblPr>
      <w:tblGrid>
        <w:gridCol w:w="4677"/>
        <w:gridCol w:w="4677"/>
      </w:tblGrid>
      <w:tr>
        <w:tc>
          <w:tcPr>
            <w:tcW w:type="dxa" w:w="4677"/>
          </w:tcPr>
          <w:p>
            <w:pPr>
              <w:spacing w:line="240" w:lineRule="auto" w:after="0"/>
              <w:ind w:firstLine="0"/>
              <w:jc w:val="center"/>
            </w:pPr>
            <w:r>
              <w:rPr>
                <w:rFonts w:ascii="Times New Roman" w:hAnsi="Times New Roman" w:eastAsia="Times New Roman"/>
                <w:b/>
                <w:sz w:val="24"/>
              </w:rPr>
              <w:t>Măsura de profilaxie</w:t>
            </w:r>
          </w:p>
        </w:tc>
        <w:tc>
          <w:tcPr>
            <w:tcW w:type="dxa" w:w="4677"/>
          </w:tcPr>
          <w:p>
            <w:pPr>
              <w:spacing w:line="240" w:lineRule="auto" w:after="0"/>
              <w:ind w:firstLine="0"/>
              <w:jc w:val="center"/>
            </w:pPr>
            <w:r>
              <w:rPr>
                <w:rFonts w:ascii="Times New Roman" w:hAnsi="Times New Roman" w:eastAsia="Times New Roman"/>
                <w:b/>
                <w:sz w:val="24"/>
              </w:rPr>
              <w:t>Efectul urmărit</w:t>
            </w:r>
          </w:p>
        </w:tc>
      </w:tr>
      <w:tr>
        <w:tc>
          <w:tcPr>
            <w:tcW w:type="dxa" w:w="4677"/>
          </w:tcPr>
          <w:p>
            <w:pPr>
              <w:spacing w:line="240" w:lineRule="auto" w:after="0"/>
              <w:ind w:firstLine="0"/>
              <w:jc w:val="left"/>
            </w:pPr>
            <w:r>
              <w:rPr>
                <w:rFonts w:ascii="Times New Roman" w:hAnsi="Times New Roman" w:eastAsia="Times New Roman"/>
                <w:b w:val="0"/>
                <w:sz w:val="24"/>
              </w:rPr>
              <w:t>Ventilația și igiena locuințelor/instituțiilor</w:t>
            </w:r>
          </w:p>
        </w:tc>
        <w:tc>
          <w:tcPr>
            <w:tcW w:type="dxa" w:w="4677"/>
          </w:tcPr>
          <w:p>
            <w:pPr>
              <w:spacing w:line="240" w:lineRule="auto" w:after="0"/>
              <w:ind w:firstLine="0"/>
              <w:jc w:val="left"/>
            </w:pPr>
            <w:r>
              <w:rPr>
                <w:rFonts w:ascii="Times New Roman" w:hAnsi="Times New Roman" w:eastAsia="Times New Roman"/>
                <w:b w:val="0"/>
                <w:sz w:val="24"/>
              </w:rPr>
              <w:t>Reducerea concentrației particulelor infectante în aer</w:t>
            </w:r>
          </w:p>
        </w:tc>
      </w:tr>
      <w:tr>
        <w:tc>
          <w:tcPr>
            <w:tcW w:type="dxa" w:w="4677"/>
          </w:tcPr>
          <w:p>
            <w:pPr>
              <w:spacing w:line="240" w:lineRule="auto" w:after="0"/>
              <w:ind w:firstLine="0"/>
              <w:jc w:val="left"/>
            </w:pPr>
            <w:r>
              <w:rPr>
                <w:rFonts w:ascii="Times New Roman" w:hAnsi="Times New Roman" w:eastAsia="Times New Roman"/>
                <w:b w:val="0"/>
                <w:sz w:val="24"/>
              </w:rPr>
              <w:t>Controlul infecției în instituțiile cu risc</w:t>
            </w:r>
          </w:p>
        </w:tc>
        <w:tc>
          <w:tcPr>
            <w:tcW w:type="dxa" w:w="4677"/>
          </w:tcPr>
          <w:p>
            <w:pPr>
              <w:spacing w:line="240" w:lineRule="auto" w:after="0"/>
              <w:ind w:firstLine="0"/>
              <w:jc w:val="left"/>
            </w:pPr>
            <w:r>
              <w:rPr>
                <w:rFonts w:ascii="Times New Roman" w:hAnsi="Times New Roman" w:eastAsia="Times New Roman"/>
                <w:b w:val="0"/>
                <w:sz w:val="24"/>
              </w:rPr>
              <w:t>Limitarea transmiterii în spații închise, aglomerate</w:t>
            </w:r>
          </w:p>
        </w:tc>
      </w:tr>
      <w:tr>
        <w:tc>
          <w:tcPr>
            <w:tcW w:type="dxa" w:w="4677"/>
          </w:tcPr>
          <w:p>
            <w:pPr>
              <w:spacing w:line="240" w:lineRule="auto" w:after="0"/>
              <w:ind w:firstLine="0"/>
              <w:jc w:val="left"/>
            </w:pPr>
            <w:r>
              <w:rPr>
                <w:rFonts w:ascii="Times New Roman" w:hAnsi="Times New Roman" w:eastAsia="Times New Roman"/>
                <w:b w:val="0"/>
                <w:sz w:val="24"/>
              </w:rPr>
              <w:t>Eticheta respiratorie</w:t>
            </w:r>
          </w:p>
        </w:tc>
        <w:tc>
          <w:tcPr>
            <w:tcW w:type="dxa" w:w="4677"/>
          </w:tcPr>
          <w:p>
            <w:pPr>
              <w:spacing w:line="240" w:lineRule="auto" w:after="0"/>
              <w:ind w:firstLine="0"/>
              <w:jc w:val="left"/>
            </w:pPr>
            <w:r>
              <w:rPr>
                <w:rFonts w:ascii="Times New Roman" w:hAnsi="Times New Roman" w:eastAsia="Times New Roman"/>
                <w:b w:val="0"/>
                <w:sz w:val="24"/>
              </w:rPr>
              <w:t>Reducerea dispersiei particulelor de la bolnavi</w:t>
            </w:r>
          </w:p>
        </w:tc>
      </w:tr>
      <w:tr>
        <w:tc>
          <w:tcPr>
            <w:tcW w:type="dxa" w:w="4677"/>
          </w:tcPr>
          <w:p>
            <w:pPr>
              <w:spacing w:line="240" w:lineRule="auto" w:after="0"/>
              <w:ind w:firstLine="0"/>
              <w:jc w:val="left"/>
            </w:pPr>
            <w:r>
              <w:rPr>
                <w:rFonts w:ascii="Times New Roman" w:hAnsi="Times New Roman" w:eastAsia="Times New Roman"/>
                <w:b w:val="0"/>
                <w:sz w:val="24"/>
              </w:rPr>
              <w:t>Vaccinarea BCG a nou-născuților</w:t>
            </w:r>
          </w:p>
        </w:tc>
        <w:tc>
          <w:tcPr>
            <w:tcW w:type="dxa" w:w="4677"/>
          </w:tcPr>
          <w:p>
            <w:pPr>
              <w:spacing w:line="240" w:lineRule="auto" w:after="0"/>
              <w:ind w:firstLine="0"/>
              <w:jc w:val="left"/>
            </w:pPr>
            <w:r>
              <w:rPr>
                <w:rFonts w:ascii="Times New Roman" w:hAnsi="Times New Roman" w:eastAsia="Times New Roman"/>
                <w:b w:val="0"/>
                <w:sz w:val="24"/>
              </w:rPr>
              <w:t>Protecție față de formele grave la copilul mic</w:t>
            </w:r>
          </w:p>
        </w:tc>
      </w:tr>
      <w:tr>
        <w:tc>
          <w:tcPr>
            <w:tcW w:type="dxa" w:w="4677"/>
          </w:tcPr>
          <w:p>
            <w:pPr>
              <w:spacing w:line="240" w:lineRule="auto" w:after="0"/>
              <w:ind w:firstLine="0"/>
              <w:jc w:val="left"/>
            </w:pPr>
            <w:r>
              <w:rPr>
                <w:rFonts w:ascii="Times New Roman" w:hAnsi="Times New Roman" w:eastAsia="Times New Roman"/>
                <w:b w:val="0"/>
                <w:sz w:val="24"/>
              </w:rPr>
              <w:t>Tratamentul preventiv (3HP/1HP)</w:t>
            </w:r>
          </w:p>
        </w:tc>
        <w:tc>
          <w:tcPr>
            <w:tcW w:type="dxa" w:w="4677"/>
          </w:tcPr>
          <w:p>
            <w:pPr>
              <w:spacing w:line="240" w:lineRule="auto" w:after="0"/>
              <w:ind w:firstLine="0"/>
              <w:jc w:val="left"/>
            </w:pPr>
            <w:r>
              <w:rPr>
                <w:rFonts w:ascii="Times New Roman" w:hAnsi="Times New Roman" w:eastAsia="Times New Roman"/>
                <w:b w:val="0"/>
                <w:sz w:val="24"/>
              </w:rPr>
              <w:t>Prevenirea progresiei de la infecție latentă la boală</w:t>
            </w:r>
          </w:p>
        </w:tc>
      </w:tr>
      <w:tr>
        <w:tc>
          <w:tcPr>
            <w:tcW w:type="dxa" w:w="4677"/>
          </w:tcPr>
          <w:p>
            <w:pPr>
              <w:spacing w:line="240" w:lineRule="auto" w:after="0"/>
              <w:ind w:firstLine="0"/>
              <w:jc w:val="left"/>
            </w:pPr>
            <w:r>
              <w:rPr>
                <w:rFonts w:ascii="Times New Roman" w:hAnsi="Times New Roman" w:eastAsia="Times New Roman"/>
                <w:b w:val="0"/>
                <w:sz w:val="24"/>
              </w:rPr>
              <w:t>Depistarea și tratamentul precoce</w:t>
            </w:r>
          </w:p>
        </w:tc>
        <w:tc>
          <w:tcPr>
            <w:tcW w:type="dxa" w:w="4677"/>
          </w:tcPr>
          <w:p>
            <w:pPr>
              <w:spacing w:line="240" w:lineRule="auto" w:after="0"/>
              <w:ind w:firstLine="0"/>
              <w:jc w:val="left"/>
            </w:pPr>
            <w:r>
              <w:rPr>
                <w:rFonts w:ascii="Times New Roman" w:hAnsi="Times New Roman" w:eastAsia="Times New Roman"/>
                <w:b w:val="0"/>
                <w:sz w:val="24"/>
              </w:rPr>
              <w:t>Transformarea rapidă a bolnavului în persoană necontagioasă</w:t>
            </w:r>
          </w:p>
        </w:tc>
      </w:tr>
      <w:tr>
        <w:tc>
          <w:tcPr>
            <w:tcW w:type="dxa" w:w="4677"/>
          </w:tcPr>
          <w:p>
            <w:pPr>
              <w:spacing w:line="240" w:lineRule="auto" w:after="0"/>
              <w:ind w:firstLine="0"/>
              <w:jc w:val="left"/>
            </w:pPr>
            <w:r>
              <w:rPr>
                <w:rFonts w:ascii="Times New Roman" w:hAnsi="Times New Roman" w:eastAsia="Times New Roman"/>
                <w:b w:val="0"/>
                <w:sz w:val="24"/>
              </w:rPr>
              <w:t>Aderența la tratament (DOT/VST)</w:t>
            </w:r>
          </w:p>
        </w:tc>
        <w:tc>
          <w:tcPr>
            <w:tcW w:type="dxa" w:w="4677"/>
          </w:tcPr>
          <w:p>
            <w:pPr>
              <w:spacing w:line="240" w:lineRule="auto" w:after="0"/>
              <w:ind w:firstLine="0"/>
              <w:jc w:val="left"/>
            </w:pPr>
            <w:r>
              <w:rPr>
                <w:rFonts w:ascii="Times New Roman" w:hAnsi="Times New Roman" w:eastAsia="Times New Roman"/>
                <w:b w:val="0"/>
                <w:sz w:val="24"/>
              </w:rPr>
              <w:t>Vindecarea și prevenirea rezistenței la medicamente</w:t>
            </w:r>
          </w:p>
        </w:tc>
      </w:tr>
      <w:tr>
        <w:tc>
          <w:tcPr>
            <w:tcW w:type="dxa" w:w="4677"/>
          </w:tcPr>
          <w:p>
            <w:pPr>
              <w:spacing w:line="240" w:lineRule="auto" w:after="0"/>
              <w:ind w:firstLine="0"/>
              <w:jc w:val="left"/>
            </w:pPr>
            <w:r>
              <w:rPr>
                <w:rFonts w:ascii="Times New Roman" w:hAnsi="Times New Roman" w:eastAsia="Times New Roman"/>
                <w:b w:val="0"/>
                <w:sz w:val="24"/>
              </w:rPr>
              <w:t>Educația pentru sănătate și anti-stigmă</w:t>
            </w:r>
          </w:p>
        </w:tc>
        <w:tc>
          <w:tcPr>
            <w:tcW w:type="dxa" w:w="4677"/>
          </w:tcPr>
          <w:p>
            <w:pPr>
              <w:spacing w:line="240" w:lineRule="auto" w:after="0"/>
              <w:ind w:firstLine="0"/>
              <w:jc w:val="left"/>
            </w:pPr>
            <w:r>
              <w:rPr>
                <w:rFonts w:ascii="Times New Roman" w:hAnsi="Times New Roman" w:eastAsia="Times New Roman"/>
                <w:b w:val="0"/>
                <w:sz w:val="24"/>
              </w:rPr>
              <w:t>Adresarea precoce și creșterea aderenței</w:t>
            </w:r>
          </w:p>
        </w:tc>
      </w:tr>
    </w:tbl>
    <w:p>
      <w:pPr>
        <w:spacing w:line="240" w:lineRule="auto" w:after="160" w:before="0"/>
        <w:ind w:firstLine="0"/>
        <w:jc w:val="left"/>
      </w:pPr>
      <w:r>
        <w:rPr>
          <w:rFonts w:ascii="Times New Roman" w:hAnsi="Times New Roman" w:eastAsia="Times New Roman"/>
          <w:b w:val="0"/>
          <w:i/>
          <w:sz w:val="22"/>
        </w:rPr>
        <w:t>Notă: Sinteză pe baza surselor OMS, 2019 și Guvernul Republicii Moldova, 2026.</w:t>
      </w:r>
    </w:p>
    <w:p>
      <w:pPr>
        <w:keepNext/>
        <w:spacing w:line="240" w:lineRule="auto" w:before="240" w:after="120"/>
        <w:ind w:firstLine="0"/>
        <w:jc w:val="center"/>
      </w:pPr>
      <w:r>
        <w:rPr>
          <w:rFonts w:ascii="Times New Roman" w:hAnsi="Times New Roman" w:eastAsia="Times New Roman"/>
          <w:b/>
          <w:sz w:val="28"/>
        </w:rPr>
        <w:t>CONCLUZII</w:t>
      </w:r>
    </w:p>
    <w:p>
      <w:pPr>
        <w:spacing w:line="240" w:lineRule="auto" w:after="0" w:before="0"/>
        <w:ind w:firstLine="709"/>
        <w:jc w:val="both"/>
      </w:pPr>
      <w:r>
        <w:rPr>
          <w:rFonts w:ascii="Times New Roman" w:hAnsi="Times New Roman" w:eastAsia="Times New Roman"/>
          <w:b w:val="0"/>
          <w:i w:val="0"/>
          <w:sz w:val="28"/>
        </w:rPr>
        <w:t>1. Tuberculoza pulmonară rămâne o problemă majoră de sănătate publică, fiind în anul 2024 principala cauză de deces provocată de un singur agent infecțios la nivel mondial, cu aproximativ 10,7 milioane de îmbolnăviri și 1,23 milioane de decese (OMS, 2025).</w:t>
      </w:r>
    </w:p>
    <w:p>
      <w:pPr>
        <w:spacing w:line="240" w:lineRule="auto" w:after="0" w:before="0"/>
        <w:ind w:firstLine="709"/>
        <w:jc w:val="both"/>
      </w:pPr>
      <w:r>
        <w:rPr>
          <w:rFonts w:ascii="Times New Roman" w:hAnsi="Times New Roman" w:eastAsia="Times New Roman"/>
          <w:b w:val="0"/>
          <w:i w:val="0"/>
          <w:sz w:val="28"/>
        </w:rPr>
        <w:t>2. Dezvoltarea tuberculozei pulmonare este puternic condiționată de factori igienici și sociali modificabili – supraaglomerarea, ventilația și iluminarea deficitare, subnutriția, condițiile din instituțiile închise și accesul limitat la servicii – care acționează cumulat și fac din tuberculoză o boală a inechității sociale (Duarte R. et al., 2018).</w:t>
      </w:r>
    </w:p>
    <w:p>
      <w:pPr>
        <w:spacing w:line="240" w:lineRule="auto" w:after="0" w:before="0"/>
        <w:ind w:firstLine="709"/>
        <w:jc w:val="both"/>
      </w:pPr>
      <w:r>
        <w:rPr>
          <w:rFonts w:ascii="Times New Roman" w:hAnsi="Times New Roman" w:eastAsia="Times New Roman"/>
          <w:b w:val="0"/>
          <w:i w:val="0"/>
          <w:sz w:val="28"/>
        </w:rPr>
        <w:t>3. În Republica Moldova, indicii morbidității au înregistrat o tendință descendentă constantă: incidența cazurilor noi și recidivelor a scăzut la 67,6 la 100 000 în 2024, iar mortalitatea la 4,9 la 100 000, în reducere cu peste 50% față de 2015 (Guvernul Republicii Moldova, 2026). La nivelul municipiului Chișinău, incidența cazurilor noi s-a situat sub media națională (32,3 la 100 000 în 2025).</w:t>
      </w:r>
    </w:p>
    <w:p>
      <w:pPr>
        <w:spacing w:line="240" w:lineRule="auto" w:after="0" w:before="0"/>
        <w:ind w:firstLine="709"/>
        <w:jc w:val="both"/>
      </w:pPr>
      <w:r>
        <w:rPr>
          <w:rFonts w:ascii="Times New Roman" w:hAnsi="Times New Roman" w:eastAsia="Times New Roman"/>
          <w:b w:val="0"/>
          <w:i w:val="0"/>
          <w:sz w:val="28"/>
        </w:rPr>
        <w:t>4. Tuberculoza drogrezistentă (26,2% printre cazurile noi în 2024) și coinfecția TB/HIV (12,1%) rămân provocări majore, care impun diagnostic precoce al rezistenței și o abordare integrată.</w:t>
      </w:r>
    </w:p>
    <w:p>
      <w:pPr>
        <w:spacing w:line="240" w:lineRule="auto" w:after="0" w:before="0"/>
        <w:ind w:firstLine="709"/>
        <w:jc w:val="both"/>
      </w:pPr>
      <w:r>
        <w:rPr>
          <w:rFonts w:ascii="Times New Roman" w:hAnsi="Times New Roman" w:eastAsia="Times New Roman"/>
          <w:b w:val="0"/>
          <w:i w:val="0"/>
          <w:sz w:val="28"/>
        </w:rPr>
        <w:t>5. Depistarea precoce, prin combinarea screeningului activ, a radiografiei toracice și a testelor moleculare rapide, și profilaxia, prin măsuri igienico-sanitare, vaccinare BCG, tratament preventiv și susținerea aderenței, reprezintă cele mai eficiente instrumente de control al bolii.</w:t>
      </w:r>
    </w:p>
    <w:p>
      <w:pPr>
        <w:keepNext/>
        <w:spacing w:line="240" w:lineRule="auto" w:before="240" w:after="120"/>
        <w:ind w:firstLine="0"/>
        <w:jc w:val="center"/>
      </w:pPr>
      <w:r>
        <w:rPr>
          <w:rFonts w:ascii="Times New Roman" w:hAnsi="Times New Roman" w:eastAsia="Times New Roman"/>
          <w:b/>
          <w:sz w:val="28"/>
        </w:rPr>
        <w:t>RECOMANDĂRI PRACTICE</w:t>
      </w:r>
    </w:p>
    <w:p>
      <w:pPr>
        <w:spacing w:line="240" w:lineRule="auto" w:after="0" w:before="0"/>
        <w:ind w:firstLine="709"/>
        <w:jc w:val="both"/>
      </w:pPr>
      <w:r>
        <w:rPr>
          <w:rFonts w:ascii="Times New Roman" w:hAnsi="Times New Roman" w:eastAsia="Times New Roman"/>
          <w:b w:val="0"/>
          <w:i w:val="0"/>
          <w:sz w:val="28"/>
        </w:rPr>
        <w:t>1. Îmbunătățirea condițiilor de locuire și reducerea supraaglomerării, cu asigurarea ventilației și a iluminării naturale adecvate, în special în gospodăriile și comunitățile cu risc crescut.</w:t>
      </w:r>
    </w:p>
    <w:p>
      <w:pPr>
        <w:spacing w:line="240" w:lineRule="auto" w:after="0" w:before="0"/>
        <w:ind w:firstLine="709"/>
        <w:jc w:val="both"/>
      </w:pPr>
      <w:r>
        <w:rPr>
          <w:rFonts w:ascii="Times New Roman" w:hAnsi="Times New Roman" w:eastAsia="Times New Roman"/>
          <w:b w:val="0"/>
          <w:i w:val="0"/>
          <w:sz w:val="28"/>
        </w:rPr>
        <w:t>2. Consolidarea screeningului activ în grupurile vulnerabile (persoane cu HIV, deținuți, persoane fără adăpost, contacți), prin extinderea utilizării unităților radiologice mobile și a testelor moleculare rapide.</w:t>
      </w:r>
    </w:p>
    <w:p>
      <w:pPr>
        <w:spacing w:line="240" w:lineRule="auto" w:after="0" w:before="0"/>
        <w:ind w:firstLine="709"/>
        <w:jc w:val="both"/>
      </w:pPr>
      <w:r>
        <w:rPr>
          <w:rFonts w:ascii="Times New Roman" w:hAnsi="Times New Roman" w:eastAsia="Times New Roman"/>
          <w:b w:val="0"/>
          <w:i w:val="0"/>
          <w:sz w:val="28"/>
        </w:rPr>
        <w:t>3. Intensificarea măsurilor de control al infecției în instituțiile închise, unde incidența rămâne de câteva ori mai mare decât media națională.</w:t>
      </w:r>
    </w:p>
    <w:p>
      <w:pPr>
        <w:spacing w:line="240" w:lineRule="auto" w:after="0" w:before="0"/>
        <w:ind w:firstLine="709"/>
        <w:jc w:val="both"/>
      </w:pPr>
      <w:r>
        <w:rPr>
          <w:rFonts w:ascii="Times New Roman" w:hAnsi="Times New Roman" w:eastAsia="Times New Roman"/>
          <w:b w:val="0"/>
          <w:i w:val="0"/>
          <w:sz w:val="28"/>
        </w:rPr>
        <w:t>4. Extinderea tratamentului preventiv al infecției tuberculoase latente și menținerea unei acoperiri vaccinale BCG de cel puțin 95% la nou-născuți.</w:t>
      </w:r>
    </w:p>
    <w:p>
      <w:pPr>
        <w:spacing w:line="240" w:lineRule="auto" w:after="0" w:before="0"/>
        <w:ind w:firstLine="709"/>
        <w:jc w:val="both"/>
      </w:pPr>
      <w:r>
        <w:rPr>
          <w:rFonts w:ascii="Times New Roman" w:hAnsi="Times New Roman" w:eastAsia="Times New Roman"/>
          <w:b w:val="0"/>
          <w:i w:val="0"/>
          <w:sz w:val="28"/>
        </w:rPr>
        <w:t>5. Susținerea aderenței la tratament prin administrare direct observată, tratament videoasistat și suport social, pentru prevenirea apariției formelor rezistente.</w:t>
      </w:r>
    </w:p>
    <w:p>
      <w:pPr>
        <w:spacing w:line="240" w:lineRule="auto" w:after="0" w:before="0"/>
        <w:ind w:firstLine="709"/>
        <w:jc w:val="both"/>
      </w:pPr>
      <w:r>
        <w:rPr>
          <w:rFonts w:ascii="Times New Roman" w:hAnsi="Times New Roman" w:eastAsia="Times New Roman"/>
          <w:b w:val="0"/>
          <w:i w:val="0"/>
          <w:sz w:val="28"/>
        </w:rPr>
        <w:t>6. Dezvoltarea activităților de educație pentru sănătate și de combatere a stigmatizării, pentru încurajarea adresării precoce la medic.</w:t>
      </w:r>
    </w:p>
    <w:p>
      <w:r>
        <w:br w:type="page"/>
      </w:r>
    </w:p>
    <w:p>
      <w:pPr>
        <w:keepNext/>
        <w:spacing w:line="240" w:lineRule="auto" w:before="240" w:after="120"/>
        <w:ind w:firstLine="0"/>
        <w:jc w:val="center"/>
      </w:pPr>
      <w:r>
        <w:rPr>
          <w:rFonts w:ascii="Times New Roman" w:hAnsi="Times New Roman" w:eastAsia="Times New Roman"/>
          <w:b/>
          <w:sz w:val="28"/>
        </w:rPr>
        <w:t>BIBLIOGRAFIE</w:t>
      </w:r>
    </w:p>
    <w:p>
      <w:pPr>
        <w:spacing w:line="240" w:lineRule="auto" w:after="80"/>
        <w:ind w:firstLine="0" w:left="425"/>
        <w:jc w:val="both"/>
      </w:pPr>
      <w:r>
        <w:rPr>
          <w:rFonts w:ascii="Times New Roman" w:hAnsi="Times New Roman"/>
          <w:sz w:val="28"/>
        </w:rPr>
        <w:t>1. Agenția Națională pentru Sănătate Publică. Morbiditatea populației prin tuberculoză activă pe grupe de vârstă, sexe și ani (cod intern de referință san020700). Chișinău: Biroul Național de Statistică al Republicii Moldova, 2025.</w:t>
      </w:r>
    </w:p>
    <w:p>
      <w:pPr>
        <w:spacing w:line="240" w:lineRule="auto" w:after="80"/>
        <w:ind w:firstLine="0" w:left="425"/>
        <w:jc w:val="both"/>
      </w:pPr>
      <w:r>
        <w:rPr>
          <w:rFonts w:ascii="Times New Roman" w:hAnsi="Times New Roman"/>
          <w:sz w:val="28"/>
        </w:rPr>
        <w:t>2. Duarte R., Lönnroth K., Carvalho C., Lima F., Carvalho A.C.C., Muñoz-Torrico M., Centis R. Tuberculosis, social determinants and co-morbidities (including HIV). În: Pulmonology. 2018, 24(2):115-119.</w:t>
      </w:r>
    </w:p>
    <w:p>
      <w:pPr>
        <w:spacing w:line="240" w:lineRule="auto" w:after="80"/>
        <w:ind w:firstLine="0" w:left="425"/>
        <w:jc w:val="both"/>
      </w:pPr>
      <w:r>
        <w:rPr>
          <w:rFonts w:ascii="Times New Roman" w:hAnsi="Times New Roman"/>
          <w:sz w:val="28"/>
        </w:rPr>
        <w:t>3. Guvernul Republicii Moldova. Hotărârea Guvernului nr. 201/2026 cu privire la aprobarea Programului național de răspuns la tuberculoză pentru anii 2026-2030. În: Monitorul Oficial al Republicii Moldova. 2026, nr. 202-205, art. 241.</w:t>
      </w:r>
    </w:p>
    <w:p>
      <w:pPr>
        <w:spacing w:line="240" w:lineRule="auto" w:after="80"/>
        <w:ind w:firstLine="0" w:left="425"/>
        <w:jc w:val="both"/>
      </w:pPr>
      <w:r>
        <w:rPr>
          <w:rFonts w:ascii="Times New Roman" w:hAnsi="Times New Roman"/>
          <w:sz w:val="28"/>
        </w:rPr>
        <w:t>4. Ministerul Sănătății al Republicii Moldova. Raport cu privire la realizarea Planului de acțiuni pentru anii 2022-2025 privind implementarea Programului Național de răspuns la tuberculoză. Perioada raportării: anul 2024. Chișinău, 2025.</w:t>
      </w:r>
    </w:p>
    <w:p>
      <w:pPr>
        <w:spacing w:line="240" w:lineRule="auto" w:after="80"/>
        <w:ind w:firstLine="0" w:left="425"/>
        <w:jc w:val="both"/>
      </w:pPr>
      <w:r>
        <w:rPr>
          <w:rFonts w:ascii="Times New Roman" w:hAnsi="Times New Roman"/>
          <w:sz w:val="28"/>
        </w:rPr>
        <w:t>5. Organizația Mondială a Sănătății. Global tuberculosis report 2025. Geneva: World Health Organization, 2025, 76 p.</w:t>
      </w:r>
    </w:p>
    <w:p>
      <w:pPr>
        <w:spacing w:line="240" w:lineRule="auto" w:after="80"/>
        <w:ind w:firstLine="0" w:left="425"/>
        <w:jc w:val="both"/>
      </w:pPr>
      <w:r>
        <w:rPr>
          <w:rFonts w:ascii="Times New Roman" w:hAnsi="Times New Roman"/>
          <w:sz w:val="28"/>
        </w:rPr>
        <w:t>6. Organizația Mondială a Sănătății. WHO consolidated guidelines on tuberculosis. Module 2: Screening – Systematic screening for tuberculosis disease. Geneva: World Health Organization, 2021, 68 p.</w:t>
      </w:r>
    </w:p>
    <w:p>
      <w:pPr>
        <w:spacing w:line="240" w:lineRule="auto" w:after="80"/>
        <w:ind w:firstLine="0" w:left="425"/>
        <w:jc w:val="both"/>
      </w:pPr>
      <w:r>
        <w:rPr>
          <w:rFonts w:ascii="Times New Roman" w:hAnsi="Times New Roman"/>
          <w:sz w:val="28"/>
        </w:rPr>
        <w:t>7. Organizația Mondială a Sănătății. WHO guidelines on tuberculosis infection prevention and control, 2019 update. Geneva: World Health Organization, 2019.</w:t>
      </w:r>
    </w:p>
    <w:p>
      <w:pPr>
        <w:spacing w:line="240" w:lineRule="auto" w:after="80"/>
        <w:ind w:firstLine="0" w:left="425"/>
        <w:jc w:val="both"/>
      </w:pPr>
      <w:r>
        <w:rPr>
          <w:rFonts w:ascii="Times New Roman" w:hAnsi="Times New Roman"/>
          <w:sz w:val="28"/>
        </w:rPr>
        <w:t>8. World Health Organization Regional Office for Europe, European Centre for Disease Prevention and Control. Tuberculosis surveillance and monitoring in Europe 2025 (2023 data). Copenhagen: WHO Regional Office for Europe, 2025.</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