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2E74B5"/>
          <w:sz w:val="20"/>
        </w:rPr>
        <w:t>PHASE 1 TEAM VALIDATION</w:t>
      </w:r>
    </w:p>
    <w:p>
      <w:pPr>
        <w:spacing w:after="60"/>
      </w:pPr>
      <w:r>
        <w:rPr>
          <w:rFonts w:ascii="Calibri" w:hAnsi="Calibri"/>
          <w:b/>
          <w:i w:val="0"/>
          <w:color w:val="17365D"/>
          <w:sz w:val="46"/>
        </w:rPr>
        <w:t>Einbau Customer Journey</w:t>
      </w:r>
    </w:p>
    <w:p>
      <w:pPr>
        <w:spacing w:after="240"/>
      </w:pPr>
      <w:r>
        <w:rPr>
          <w:rFonts w:ascii="Calibri" w:hAnsi="Calibri"/>
          <w:b w:val="0"/>
          <w:i w:val="0"/>
          <w:color w:val="667085"/>
          <w:sz w:val="24"/>
        </w:rPr>
        <w:t>Current workflow, opportunity stages and account segmentation</w:t>
      </w:r>
    </w:p>
    <w:tbl>
      <w:tblPr>
        <w:tblStyle w:val="TableGrid"/>
        <w:tblW w:type="dxa" w:w="10166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3E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E6B3A"/>
                <w:sz w:val="19"/>
              </w:rPr>
              <w:t xml:space="preserve">PURPOSE THIS WEEK  </w:t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Confirm that the proposed customer journey reflects how Einbau operates before it is translated into the NetSuite configuration.</w:t>
            </w:r>
          </w:p>
        </w:tc>
      </w:tr>
    </w:tbl>
    <w:p>
      <w:pPr>
        <w:spacing w:after="0"/>
      </w:pPr>
    </w:p>
    <w:p>
      <w:pPr>
        <w:pStyle w:val="Heading1"/>
      </w:pPr>
      <w:r>
        <w:t>1. What We Are Validating in Phase 1</w:t>
      </w:r>
    </w:p>
    <w:p>
      <w:r>
        <w:rPr>
          <w:rFonts w:ascii="Calibri" w:hAnsi="Calibri"/>
          <w:b w:val="0"/>
          <w:i w:val="0"/>
          <w:color w:val="111827"/>
          <w:sz w:val="20"/>
        </w:rPr>
        <w:t>Phase 1 is focused on the business structure—not the technical build. The team is being asked to confirm:</w:t>
      </w:r>
    </w:p>
    <w:p>
      <w:pPr>
        <w:pStyle w:val="ListBullet"/>
      </w:pPr>
      <w:r>
        <w:rPr>
          <w:rFonts w:ascii="Calibri" w:hAnsi="Calibri"/>
          <w:b w:val="0"/>
          <w:i w:val="0"/>
          <w:color w:val="111827"/>
          <w:sz w:val="20"/>
        </w:rPr>
        <w:t>The current RFQ-to-NetSuite workflow is represented correctly.</w:t>
      </w:r>
    </w:p>
    <w:p>
      <w:pPr>
        <w:pStyle w:val="ListBullet"/>
      </w:pPr>
      <w:r>
        <w:rPr>
          <w:rFonts w:ascii="Calibri" w:hAnsi="Calibri"/>
          <w:b w:val="0"/>
          <w:i w:val="0"/>
          <w:color w:val="111827"/>
          <w:sz w:val="20"/>
        </w:rPr>
        <w:t>The proposed opportunity stages follow the real path of an RFQ and bid.</w:t>
      </w:r>
    </w:p>
    <w:p>
      <w:pPr>
        <w:pStyle w:val="ListBullet"/>
      </w:pPr>
      <w:r>
        <w:rPr>
          <w:rFonts w:ascii="Calibri" w:hAnsi="Calibri"/>
          <w:b w:val="0"/>
          <w:i w:val="0"/>
          <w:color w:val="111827"/>
          <w:sz w:val="20"/>
        </w:rPr>
        <w:t>The proposed account segments accurately describe Einbau’s relationship with each company.</w:t>
      </w:r>
    </w:p>
    <w:p>
      <w:pPr>
        <w:pStyle w:val="ListBullet"/>
      </w:pPr>
      <w:r>
        <w:rPr>
          <w:rFonts w:ascii="Calibri" w:hAnsi="Calibri"/>
          <w:b w:val="0"/>
          <w:i w:val="0"/>
          <w:color w:val="111827"/>
          <w:sz w:val="20"/>
        </w:rPr>
        <w:t>The difference between qualification, opportunity stage and account status is clear.</w:t>
      </w:r>
    </w:p>
    <w:p>
      <w:pPr>
        <w:pStyle w:val="ListBullet"/>
      </w:pPr>
      <w:r>
        <w:rPr>
          <w:rFonts w:ascii="Calibri" w:hAnsi="Calibri"/>
          <w:b w:val="0"/>
          <w:i w:val="0"/>
          <w:color w:val="111827"/>
          <w:sz w:val="20"/>
        </w:rPr>
        <w:t>No important stage or segment is missing, duplicated or unnecessary.</w:t>
      </w:r>
    </w:p>
    <w:tbl>
      <w:tblPr>
        <w:tblStyle w:val="TableGrid"/>
        <w:tblW w:type="dxa" w:w="10166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D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7A5A00"/>
                <w:sz w:val="19"/>
              </w:rPr>
              <w:t xml:space="preserve">SEPARATE REVIEW  </w:t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The follow-up operating model is being refined with Devid separately. Brian can validate that model once it is ready, so it does not add weight to this Phase 1 review.</w:t>
            </w:r>
          </w:p>
        </w:tc>
      </w:tr>
    </w:tbl>
    <w:p>
      <w:pPr>
        <w:spacing w:after="0"/>
      </w:pPr>
    </w:p>
    <w:p>
      <w:pPr>
        <w:pStyle w:val="Heading1"/>
      </w:pPr>
      <w:r>
        <w:t>2. Current-State Workflow</w:t>
      </w:r>
    </w:p>
    <w:p>
      <w:r>
        <w:rPr>
          <w:rFonts w:ascii="Calibri" w:hAnsi="Calibri"/>
          <w:b w:val="0"/>
          <w:i w:val="0"/>
          <w:color w:val="111827"/>
          <w:sz w:val="20"/>
        </w:rPr>
        <w:t>This is the process the proposed NetSuite journey is built around:</w:t>
      </w:r>
    </w:p>
    <w:tbl>
      <w:tblPr>
        <w:tblStyle w:val="TableGrid"/>
        <w:tblW w:type="dxa" w:w="10166"/>
        <w:jc w:val="left"/>
        <w:tblLayout w:type="fixed"/>
        <w:tblLook w:firstColumn="1" w:firstRow="1" w:lastColumn="0" w:lastRow="0" w:noHBand="0" w:noVBand="1" w:val="04A0"/>
      </w:tblPr>
      <w:tblGrid>
        <w:gridCol w:w="1512"/>
        <w:gridCol w:w="6120"/>
        <w:gridCol w:w="2534"/>
      </w:tblGrid>
      <w:tr>
        <w:trPr>
          <w:tblHeader w:val="true"/>
        </w:trPr>
        <w:tc>
          <w:tcPr>
            <w:tcW w:type="dxa" w:w="1512"/>
            <w:shd w:fill="E8EE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Step</w:t>
            </w:r>
          </w:p>
        </w:tc>
        <w:tc>
          <w:tcPr>
            <w:tcW w:type="dxa" w:w="6120"/>
            <w:shd w:fill="E8EE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What happens</w:t>
            </w:r>
          </w:p>
        </w:tc>
        <w:tc>
          <w:tcPr>
            <w:tcW w:type="dxa" w:w="2534"/>
            <w:shd w:fill="E8EE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System / owner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1. RFQ received</w:t>
            </w:r>
          </w:p>
        </w:tc>
        <w:tc>
          <w:tcPr>
            <w:tcW w:type="dxa" w:w="61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 new RFQ enters Procore.</w:t>
            </w:r>
          </w:p>
        </w:tc>
        <w:tc>
          <w:tcPr>
            <w:tcW w:type="dxa" w:w="253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Procore</w:t>
            </w:r>
          </w:p>
        </w:tc>
      </w:tr>
      <w:tr>
        <w:trPr>
          <w:cantSplit/>
        </w:trPr>
        <w:tc>
          <w:tcPr>
            <w:tcW w:type="dxa" w:w="1512"/>
            <w:shd w:fill="FA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2. Qualification completed</w:t>
            </w:r>
          </w:p>
        </w:tc>
        <w:tc>
          <w:tcPr>
            <w:tcW w:type="dxa" w:w="6120"/>
            <w:shd w:fill="FA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Estimating completes the Bid Intake Qualification Form and determines whether Einbau will bid.</w:t>
            </w:r>
          </w:p>
        </w:tc>
        <w:tc>
          <w:tcPr>
            <w:tcW w:type="dxa" w:w="2534"/>
            <w:shd w:fill="FA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Estimating / Qualification Form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3. Information sent to NetSuite</w:t>
            </w:r>
          </w:p>
        </w:tc>
        <w:tc>
          <w:tcPr>
            <w:tcW w:type="dxa" w:w="61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The completed form information is uploaded automatically into NetSuite.</w:t>
            </w:r>
          </w:p>
        </w:tc>
        <w:tc>
          <w:tcPr>
            <w:tcW w:type="dxa" w:w="253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Automated workflow</w:t>
            </w:r>
          </w:p>
        </w:tc>
      </w:tr>
      <w:tr>
        <w:trPr>
          <w:cantSplit/>
        </w:trPr>
        <w:tc>
          <w:tcPr>
            <w:tcW w:type="dxa" w:w="1512"/>
            <w:shd w:fill="FA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4. Commercial journey tracked</w:t>
            </w:r>
          </w:p>
        </w:tc>
        <w:tc>
          <w:tcPr>
            <w:tcW w:type="dxa" w:w="6120"/>
            <w:shd w:fill="FA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NetSuite should show whether the opportunity is being estimated, submitted, reviewed, awarded, lost or placed on hold.</w:t>
            </w:r>
          </w:p>
        </w:tc>
        <w:tc>
          <w:tcPr>
            <w:tcW w:type="dxa" w:w="2534"/>
            <w:shd w:fill="FA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NetSuite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5. Customer history retained</w:t>
            </w:r>
          </w:p>
        </w:tc>
        <w:tc>
          <w:tcPr>
            <w:tcW w:type="dxa" w:w="61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The opportunity remains connected to the company and contact so Einbau can see the complete relationship and bid history.</w:t>
            </w:r>
          </w:p>
        </w:tc>
        <w:tc>
          <w:tcPr>
            <w:tcW w:type="dxa" w:w="253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NetSuite account/contact</w:t>
            </w:r>
          </w:p>
        </w:tc>
      </w:tr>
    </w:tbl>
    <w:p>
      <w:pPr>
        <w:spacing w:after="0"/>
      </w:pPr>
    </w:p>
    <w:p>
      <w:pPr>
        <w:pStyle w:val="Heading1"/>
      </w:pPr>
      <w:r>
        <w:t>3. How the Information Is Organized</w:t>
      </w:r>
    </w:p>
    <w:p>
      <w:r>
        <w:rPr>
          <w:rFonts w:ascii="Calibri" w:hAnsi="Calibri"/>
          <w:b w:val="0"/>
          <w:i w:val="0"/>
          <w:color w:val="111827"/>
          <w:sz w:val="20"/>
        </w:rPr>
        <w:t>Three different labels are needed because each answers a different business question:</w:t>
      </w:r>
    </w:p>
    <w:tbl>
      <w:tblPr>
        <w:tblStyle w:val="TableGrid"/>
        <w:tblW w:type="dxa" w:w="10166"/>
        <w:jc w:val="left"/>
        <w:tblLayout w:type="fixed"/>
        <w:tblLook w:firstColumn="1" w:firstRow="1" w:lastColumn="0" w:lastRow="0" w:noHBand="0" w:noVBand="1" w:val="04A0"/>
      </w:tblPr>
      <w:tblGrid>
        <w:gridCol w:w="2232"/>
        <w:gridCol w:w="4968"/>
        <w:gridCol w:w="2966"/>
      </w:tblGrid>
      <w:tr>
        <w:trPr>
          <w:tblHeader w:val="true"/>
        </w:trPr>
        <w:tc>
          <w:tcPr>
            <w:tcW w:type="dxa" w:w="2232"/>
            <w:shd w:fill="E8EE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Type</w:t>
            </w:r>
          </w:p>
        </w:tc>
        <w:tc>
          <w:tcPr>
            <w:tcW w:type="dxa" w:w="4968"/>
            <w:shd w:fill="E8EE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Question it answers</w:t>
            </w:r>
          </w:p>
        </w:tc>
        <w:tc>
          <w:tcPr>
            <w:tcW w:type="dxa" w:w="2966"/>
            <w:shd w:fill="E8EE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Example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Qualification result</w:t>
            </w:r>
          </w:p>
        </w:tc>
        <w:tc>
          <w:tcPr>
            <w:tcW w:type="dxa" w:w="49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Will Einbau bid on this RFQ?</w:t>
            </w:r>
          </w:p>
        </w:tc>
        <w:tc>
          <w:tcPr>
            <w:tcW w:type="dxa" w:w="296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Qualified / No Bid</w:t>
            </w:r>
          </w:p>
        </w:tc>
      </w:tr>
      <w:tr>
        <w:trPr>
          <w:cantSplit/>
        </w:trPr>
        <w:tc>
          <w:tcPr>
            <w:tcW w:type="dxa" w:w="2232"/>
            <w:shd w:fill="FA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Opportunity stage</w:t>
            </w:r>
          </w:p>
        </w:tc>
        <w:tc>
          <w:tcPr>
            <w:tcW w:type="dxa" w:w="4968"/>
            <w:shd w:fill="FA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Where is this specific RFQ or bid in its journey?</w:t>
            </w:r>
          </w:p>
        </w:tc>
        <w:tc>
          <w:tcPr>
            <w:tcW w:type="dxa" w:w="2966"/>
            <w:shd w:fill="FA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Bid in Preparation / Client Evaluation / Closed Won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Account segment</w:t>
            </w:r>
          </w:p>
        </w:tc>
        <w:tc>
          <w:tcPr>
            <w:tcW w:type="dxa" w:w="49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What is Einbau’s overall relationship with this company?</w:t>
            </w:r>
          </w:p>
        </w:tc>
        <w:tc>
          <w:tcPr>
            <w:tcW w:type="dxa" w:w="296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Qualified Target / Engaged Prospect / Customer</w:t>
            </w:r>
          </w:p>
        </w:tc>
      </w:tr>
    </w:tbl>
    <w:p>
      <w:pPr>
        <w:spacing w:after="0"/>
      </w:pPr>
    </w:p>
    <w:tbl>
      <w:tblPr>
        <w:tblStyle w:val="TableGrid"/>
        <w:tblW w:type="dxa" w:w="10166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D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7A5A00"/>
                <w:sz w:val="19"/>
              </w:rPr>
              <w:t xml:space="preserve">WHY THIS MATTERS  </w:t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A company can be an existing Customer while one RFQ is Closed Won, another is Closed Lost and a third is still being evaluated. These labels should not overwrite one another.</w:t>
            </w:r>
          </w:p>
        </w:tc>
      </w:tr>
    </w:tbl>
    <w:p>
      <w:pPr>
        <w:spacing w:after="0"/>
      </w:pPr>
    </w:p>
    <w:p>
      <w:pPr>
        <w:pStyle w:val="Heading1"/>
      </w:pPr>
      <w:r>
        <w:t>4. Proposed Opportunity Journey</w:t>
      </w:r>
    </w:p>
    <w:p>
      <w:r>
        <w:rPr>
          <w:rFonts w:ascii="Calibri" w:hAnsi="Calibri"/>
          <w:b w:val="0"/>
          <w:i/>
          <w:color w:val="667085"/>
          <w:sz w:val="20"/>
        </w:rPr>
        <w:t>These stages track each individual RFQ or bid after its information reaches NetSuite.</w:t>
      </w:r>
    </w:p>
    <w:tbl>
      <w:tblPr>
        <w:tblStyle w:val="TableGrid"/>
        <w:tblW w:type="dxa" w:w="10166"/>
        <w:jc w:val="left"/>
        <w:tblLayout w:type="fixed"/>
        <w:tblLook w:firstColumn="1" w:firstRow="1" w:lastColumn="0" w:lastRow="0" w:noHBand="0" w:noVBand="1" w:val="04A0"/>
      </w:tblPr>
      <w:tblGrid>
        <w:gridCol w:w="2448"/>
        <w:gridCol w:w="5616"/>
        <w:gridCol w:w="2102"/>
      </w:tblGrid>
      <w:tr>
        <w:trPr>
          <w:tblHeader w:val="true"/>
        </w:trPr>
        <w:tc>
          <w:tcPr>
            <w:tcW w:type="dxa" w:w="2448"/>
            <w:shd w:fill="E8EE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Stage</w:t>
            </w:r>
          </w:p>
        </w:tc>
        <w:tc>
          <w:tcPr>
            <w:tcW w:type="dxa" w:w="5616"/>
            <w:shd w:fill="E8EE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What it means</w:t>
            </w:r>
          </w:p>
        </w:tc>
        <w:tc>
          <w:tcPr>
            <w:tcW w:type="dxa" w:w="2102"/>
            <w:shd w:fill="E8EE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Team review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RFQ Imported – Review Required</w:t>
            </w:r>
          </w:p>
        </w:tc>
        <w:tc>
          <w:tcPr>
            <w:tcW w:type="dxa" w:w="56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The form information has reached NetSuite and the record needs to be checked.</w:t>
            </w:r>
          </w:p>
        </w:tc>
        <w:tc>
          <w:tcPr>
            <w:tcW w:type="dxa" w:w="210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☐ Approve  ☐ Change</w:t>
            </w:r>
          </w:p>
        </w:tc>
      </w:tr>
      <w:tr>
        <w:trPr>
          <w:cantSplit/>
        </w:trPr>
        <w:tc>
          <w:tcPr>
            <w:tcW w:type="dxa" w:w="2448"/>
            <w:shd w:fill="FA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No Bid / Disqualified</w:t>
            </w:r>
          </w:p>
        </w:tc>
        <w:tc>
          <w:tcPr>
            <w:tcW w:type="dxa" w:w="5616"/>
            <w:shd w:fill="FA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Einbau has decided not to submit an estimate. The reason is retained.</w:t>
            </w:r>
          </w:p>
        </w:tc>
        <w:tc>
          <w:tcPr>
            <w:tcW w:type="dxa" w:w="2102"/>
            <w:shd w:fill="FA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☐ Approve  ☐ Change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Qualified – Estimating</w:t>
            </w:r>
          </w:p>
        </w:tc>
        <w:tc>
          <w:tcPr>
            <w:tcW w:type="dxa" w:w="56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The RFQ meets the criteria and Einbau will prepare an estimate.</w:t>
            </w:r>
          </w:p>
        </w:tc>
        <w:tc>
          <w:tcPr>
            <w:tcW w:type="dxa" w:w="210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☐ Approve  ☐ Change</w:t>
            </w:r>
          </w:p>
        </w:tc>
      </w:tr>
      <w:tr>
        <w:trPr>
          <w:cantSplit/>
        </w:trPr>
        <w:tc>
          <w:tcPr>
            <w:tcW w:type="dxa" w:w="2448"/>
            <w:shd w:fill="FA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Bid in Preparation</w:t>
            </w:r>
          </w:p>
        </w:tc>
        <w:tc>
          <w:tcPr>
            <w:tcW w:type="dxa" w:w="5616"/>
            <w:shd w:fill="FA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Estimating is actively preparing the bid.</w:t>
            </w:r>
          </w:p>
        </w:tc>
        <w:tc>
          <w:tcPr>
            <w:tcW w:type="dxa" w:w="2102"/>
            <w:shd w:fill="FA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☐ Approve  ☐ Change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Bid Submitted</w:t>
            </w:r>
          </w:p>
        </w:tc>
        <w:tc>
          <w:tcPr>
            <w:tcW w:type="dxa" w:w="56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The estimate has been sent to the client.</w:t>
            </w:r>
          </w:p>
        </w:tc>
        <w:tc>
          <w:tcPr>
            <w:tcW w:type="dxa" w:w="210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☐ Approve  ☐ Change</w:t>
            </w:r>
          </w:p>
        </w:tc>
      </w:tr>
      <w:tr>
        <w:trPr>
          <w:cantSplit/>
        </w:trPr>
        <w:tc>
          <w:tcPr>
            <w:tcW w:type="dxa" w:w="2448"/>
            <w:shd w:fill="FA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Client Evaluation</w:t>
            </w:r>
          </w:p>
        </w:tc>
        <w:tc>
          <w:tcPr>
            <w:tcW w:type="dxa" w:w="5616"/>
            <w:shd w:fill="FA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The client is reviewing the bid and a decision is pending.</w:t>
            </w:r>
          </w:p>
        </w:tc>
        <w:tc>
          <w:tcPr>
            <w:tcW w:type="dxa" w:w="2102"/>
            <w:shd w:fill="FA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☐ Approve  ☐ Change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Clarification / Negotiation</w:t>
            </w:r>
          </w:p>
        </w:tc>
        <w:tc>
          <w:tcPr>
            <w:tcW w:type="dxa" w:w="56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The client and Einbau are discussing scope, timing, pricing or changes.</w:t>
            </w:r>
          </w:p>
        </w:tc>
        <w:tc>
          <w:tcPr>
            <w:tcW w:type="dxa" w:w="210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☐ Approve  ☐ Change</w:t>
            </w:r>
          </w:p>
        </w:tc>
      </w:tr>
      <w:tr>
        <w:trPr>
          <w:cantSplit/>
        </w:trPr>
        <w:tc>
          <w:tcPr>
            <w:tcW w:type="dxa" w:w="2448"/>
            <w:shd w:fill="FA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Awarded – Handoff Pending</w:t>
            </w:r>
          </w:p>
        </w:tc>
        <w:tc>
          <w:tcPr>
            <w:tcW w:type="dxa" w:w="5616"/>
            <w:shd w:fill="FA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Einbau has received the award and the project is waiting for operational handoff.</w:t>
            </w:r>
          </w:p>
        </w:tc>
        <w:tc>
          <w:tcPr>
            <w:tcW w:type="dxa" w:w="2102"/>
            <w:shd w:fill="FA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☐ Approve  ☐ Change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Closed Won</w:t>
            </w:r>
          </w:p>
        </w:tc>
        <w:tc>
          <w:tcPr>
            <w:tcW w:type="dxa" w:w="56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The award and operational handoff are confirmed.</w:t>
            </w:r>
          </w:p>
        </w:tc>
        <w:tc>
          <w:tcPr>
            <w:tcW w:type="dxa" w:w="210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☐ Approve  ☐ Change</w:t>
            </w:r>
          </w:p>
        </w:tc>
      </w:tr>
      <w:tr>
        <w:trPr>
          <w:cantSplit/>
        </w:trPr>
        <w:tc>
          <w:tcPr>
            <w:tcW w:type="dxa" w:w="2448"/>
            <w:shd w:fill="FA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Closed Lost</w:t>
            </w:r>
          </w:p>
        </w:tc>
        <w:tc>
          <w:tcPr>
            <w:tcW w:type="dxa" w:w="5616"/>
            <w:shd w:fill="FA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Einbau submitted a bid but was not awarded the work.</w:t>
            </w:r>
          </w:p>
        </w:tc>
        <w:tc>
          <w:tcPr>
            <w:tcW w:type="dxa" w:w="2102"/>
            <w:shd w:fill="FA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☐ Approve  ☐ Change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On Hold</w:t>
            </w:r>
          </w:p>
        </w:tc>
        <w:tc>
          <w:tcPr>
            <w:tcW w:type="dxa" w:w="56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The client decision or project is temporarily paused and requires a future review date.</w:t>
            </w:r>
          </w:p>
        </w:tc>
        <w:tc>
          <w:tcPr>
            <w:tcW w:type="dxa" w:w="210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☐ Approve  ☐ Change</w:t>
            </w:r>
          </w:p>
        </w:tc>
      </w:tr>
    </w:tbl>
    <w:p>
      <w:pPr>
        <w:spacing w:after="0"/>
      </w:pPr>
    </w:p>
    <w:tbl>
      <w:tblPr>
        <w:tblStyle w:val="TableGrid"/>
        <w:tblW w:type="dxa" w:w="10166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D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7A5A00"/>
                <w:sz w:val="19"/>
              </w:rPr>
              <w:t xml:space="preserve">IMPORTANT  </w:t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No Bid and Closed Lost are different. No Bid means Einbau chose not to compete. Closed Lost means Einbau submitted a bid but was not awarded the work.</w:t>
            </w:r>
          </w:p>
        </w:tc>
      </w:tr>
    </w:tbl>
    <w:p>
      <w:pPr>
        <w:spacing w:after="0"/>
      </w:pPr>
    </w:p>
    <w:p>
      <w:pPr>
        <w:pStyle w:val="Heading1"/>
      </w:pPr>
      <w:r>
        <w:t>5. Proposed Account Segmentation</w:t>
      </w:r>
    </w:p>
    <w:p>
      <w:r>
        <w:rPr>
          <w:rFonts w:ascii="Calibri" w:hAnsi="Calibri"/>
          <w:b w:val="0"/>
          <w:i/>
          <w:color w:val="667085"/>
          <w:sz w:val="20"/>
        </w:rPr>
        <w:t>These segments describe Einbau’s overall relationship with a company—not the outcome of one individual bid.</w:t>
      </w:r>
    </w:p>
    <w:tbl>
      <w:tblPr>
        <w:tblStyle w:val="TableGrid"/>
        <w:tblW w:type="dxa" w:w="10166"/>
        <w:jc w:val="left"/>
        <w:tblLayout w:type="fixed"/>
        <w:tblLook w:firstColumn="1" w:firstRow="1" w:lastColumn="0" w:lastRow="0" w:noHBand="0" w:noVBand="1" w:val="04A0"/>
      </w:tblPr>
      <w:tblGrid>
        <w:gridCol w:w="2376"/>
        <w:gridCol w:w="5688"/>
        <w:gridCol w:w="2102"/>
      </w:tblGrid>
      <w:tr>
        <w:trPr>
          <w:tblHeader w:val="true"/>
        </w:trPr>
        <w:tc>
          <w:tcPr>
            <w:tcW w:type="dxa" w:w="2376"/>
            <w:shd w:fill="E8EE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Account segment</w:t>
            </w:r>
          </w:p>
        </w:tc>
        <w:tc>
          <w:tcPr>
            <w:tcW w:type="dxa" w:w="5688"/>
            <w:shd w:fill="E8EE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What it means</w:t>
            </w:r>
          </w:p>
        </w:tc>
        <w:tc>
          <w:tcPr>
            <w:tcW w:type="dxa" w:w="2102"/>
            <w:shd w:fill="E8EE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Team review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Unreviewed</w:t>
            </w:r>
          </w:p>
        </w:tc>
        <w:tc>
          <w:tcPr>
            <w:tcW w:type="dxa" w:w="56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 new or imported company record that has not yet been reviewed.</w:t>
            </w:r>
          </w:p>
        </w:tc>
        <w:tc>
          <w:tcPr>
            <w:tcW w:type="dxa" w:w="210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☐ Approve  ☐ Change</w:t>
            </w:r>
          </w:p>
        </w:tc>
      </w:tr>
      <w:tr>
        <w:trPr>
          <w:cantSplit/>
        </w:trPr>
        <w:tc>
          <w:tcPr>
            <w:tcW w:type="dxa" w:w="2376"/>
            <w:shd w:fill="FA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Qualified Target</w:t>
            </w:r>
          </w:p>
        </w:tc>
        <w:tc>
          <w:tcPr>
            <w:tcW w:type="dxa" w:w="5688"/>
            <w:shd w:fill="FA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 company that fits Einbau’s target market and service capabilities.</w:t>
            </w:r>
          </w:p>
        </w:tc>
        <w:tc>
          <w:tcPr>
            <w:tcW w:type="dxa" w:w="2102"/>
            <w:shd w:fill="FA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☐ Approve  ☐ Change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Active Prospect</w:t>
            </w:r>
          </w:p>
        </w:tc>
        <w:tc>
          <w:tcPr>
            <w:tcW w:type="dxa" w:w="56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Einbau is actively developing the relationship, but there is no qualified RFQ at the moment.</w:t>
            </w:r>
          </w:p>
        </w:tc>
        <w:tc>
          <w:tcPr>
            <w:tcW w:type="dxa" w:w="210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☐ Approve  ☐ Change</w:t>
            </w:r>
          </w:p>
        </w:tc>
      </w:tr>
      <w:tr>
        <w:trPr>
          <w:cantSplit/>
        </w:trPr>
        <w:tc>
          <w:tcPr>
            <w:tcW w:type="dxa" w:w="2376"/>
            <w:shd w:fill="FA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Engaged Prospect</w:t>
            </w:r>
          </w:p>
        </w:tc>
        <w:tc>
          <w:tcPr>
            <w:tcW w:type="dxa" w:w="5688"/>
            <w:shd w:fill="FA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The company has responded, met with Einbau, shared project information or has an active opportunity.</w:t>
            </w:r>
          </w:p>
        </w:tc>
        <w:tc>
          <w:tcPr>
            <w:tcW w:type="dxa" w:w="2102"/>
            <w:shd w:fill="FA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☐ Approve  ☐ Change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Customer</w:t>
            </w:r>
          </w:p>
        </w:tc>
        <w:tc>
          <w:tcPr>
            <w:tcW w:type="dxa" w:w="56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The company has awarded at least one project to Einbau.</w:t>
            </w:r>
          </w:p>
        </w:tc>
        <w:tc>
          <w:tcPr>
            <w:tcW w:type="dxa" w:w="210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☐ Approve  ☐ Change</w:t>
            </w:r>
          </w:p>
        </w:tc>
      </w:tr>
      <w:tr>
        <w:trPr>
          <w:cantSplit/>
        </w:trPr>
        <w:tc>
          <w:tcPr>
            <w:tcW w:type="dxa" w:w="2376"/>
            <w:shd w:fill="FA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Dormant Customer</w:t>
            </w:r>
          </w:p>
        </w:tc>
        <w:tc>
          <w:tcPr>
            <w:tcW w:type="dxa" w:w="5688"/>
            <w:shd w:fill="FA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 previous customer without recent activity or an active opportunity.</w:t>
            </w:r>
          </w:p>
        </w:tc>
        <w:tc>
          <w:tcPr>
            <w:tcW w:type="dxa" w:w="2102"/>
            <w:shd w:fill="FA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☐ Approve  ☐ Change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Do Not Pursue</w:t>
            </w:r>
          </w:p>
        </w:tc>
        <w:tc>
          <w:tcPr>
            <w:tcW w:type="dxa" w:w="56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The company is not a current strategic fit.</w:t>
            </w:r>
          </w:p>
        </w:tc>
        <w:tc>
          <w:tcPr>
            <w:tcW w:type="dxa" w:w="210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☐ Approve  ☐ Change</w:t>
            </w:r>
          </w:p>
        </w:tc>
      </w:tr>
      <w:tr>
        <w:trPr>
          <w:cantSplit/>
        </w:trPr>
        <w:tc>
          <w:tcPr>
            <w:tcW w:type="dxa" w:w="2376"/>
            <w:shd w:fill="FA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Do Not Work With</w:t>
            </w:r>
          </w:p>
        </w:tc>
        <w:tc>
          <w:tcPr>
            <w:tcW w:type="dxa" w:w="5688"/>
            <w:shd w:fill="FA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Leadership has determined that Einbau should not work with the company.</w:t>
            </w:r>
          </w:p>
        </w:tc>
        <w:tc>
          <w:tcPr>
            <w:tcW w:type="dxa" w:w="2102"/>
            <w:shd w:fill="FAFB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☐ Approve  ☐ Change</w:t>
            </w:r>
          </w:p>
        </w:tc>
      </w:tr>
    </w:tbl>
    <w:p>
      <w:pPr>
        <w:spacing w:after="0"/>
      </w:pPr>
    </w:p>
    <w:p>
      <w:pPr>
        <w:pStyle w:val="Heading1"/>
      </w:pPr>
      <w:r>
        <w:t>6. Decisions Required This Week</w:t>
      </w:r>
    </w:p>
    <w:p>
      <w:r>
        <w:rPr>
          <w:rFonts w:ascii="Calibri" w:hAnsi="Calibri"/>
          <w:b w:val="0"/>
          <w:i w:val="0"/>
          <w:color w:val="111827"/>
          <w:sz w:val="20"/>
        </w:rPr>
        <w:t>Please review the proposed model and respond only where a change or clarification is needed:</w:t>
      </w:r>
    </w:p>
    <w:p>
      <w:pPr>
        <w:spacing w:after="60"/>
        <w:ind w:left="72"/>
      </w:pPr>
      <w:r>
        <w:rPr>
          <w:rFonts w:ascii="Calibri" w:hAnsi="Calibri"/>
          <w:b w:val="0"/>
          <w:i w:val="0"/>
          <w:color w:val="111827"/>
          <w:sz w:val="20"/>
        </w:rPr>
        <w:t>☐  Does the current-state workflow accurately reflect how RFQs move from Procore through qualification and into NetSuite?</w:t>
      </w:r>
    </w:p>
    <w:p>
      <w:pPr>
        <w:spacing w:after="60"/>
        <w:ind w:left="72"/>
      </w:pPr>
      <w:r>
        <w:rPr>
          <w:rFonts w:ascii="Calibri" w:hAnsi="Calibri"/>
          <w:b w:val="0"/>
          <w:i w:val="0"/>
          <w:color w:val="111827"/>
          <w:sz w:val="20"/>
        </w:rPr>
        <w:t>☐  Do the opportunity stages follow the actual path of an RFQ from import to final outcome?</w:t>
      </w:r>
    </w:p>
    <w:p>
      <w:pPr>
        <w:spacing w:after="60"/>
        <w:ind w:left="72"/>
      </w:pPr>
      <w:r>
        <w:rPr>
          <w:rFonts w:ascii="Calibri" w:hAnsi="Calibri"/>
          <w:b w:val="0"/>
          <w:i w:val="0"/>
          <w:color w:val="111827"/>
          <w:sz w:val="20"/>
        </w:rPr>
        <w:t>☐  Should any opportunity stage be renamed, combined, removed or added?</w:t>
      </w:r>
    </w:p>
    <w:p>
      <w:pPr>
        <w:spacing w:after="60"/>
        <w:ind w:left="72"/>
      </w:pPr>
      <w:r>
        <w:rPr>
          <w:rFonts w:ascii="Calibri" w:hAnsi="Calibri"/>
          <w:b w:val="0"/>
          <w:i w:val="0"/>
          <w:color w:val="111827"/>
          <w:sz w:val="20"/>
        </w:rPr>
        <w:t>☐  Do the account segments accurately describe Einbau’s relationships with companies?</w:t>
      </w:r>
    </w:p>
    <w:p>
      <w:pPr>
        <w:spacing w:after="60"/>
        <w:ind w:left="72"/>
      </w:pPr>
      <w:r>
        <w:rPr>
          <w:rFonts w:ascii="Calibri" w:hAnsi="Calibri"/>
          <w:b w:val="0"/>
          <w:i w:val="0"/>
          <w:color w:val="111827"/>
          <w:sz w:val="20"/>
        </w:rPr>
        <w:t>☐  Should any account segment be renamed, combined, removed or added?</w:t>
      </w:r>
    </w:p>
    <w:p>
      <w:pPr>
        <w:spacing w:after="60"/>
        <w:ind w:left="72"/>
      </w:pPr>
      <w:r>
        <w:rPr>
          <w:rFonts w:ascii="Calibri" w:hAnsi="Calibri"/>
          <w:b w:val="0"/>
          <w:i w:val="0"/>
          <w:color w:val="111827"/>
          <w:sz w:val="20"/>
        </w:rPr>
        <w:t>☐  Does every qualification-form submission need to become a NetSuite Opportunity, or should no-bid submissions remain intake records linked to the account? Recommended: retain every intake record and create/activate Opportunities only for pursued bids, unless reporting requires otherwise.</w:t>
      </w:r>
    </w:p>
    <w:p>
      <w:pPr>
        <w:spacing w:after="60"/>
        <w:ind w:left="72"/>
      </w:pPr>
      <w:r>
        <w:rPr>
          <w:rFonts w:ascii="Calibri" w:hAnsi="Calibri"/>
          <w:b w:val="0"/>
          <w:i w:val="0"/>
          <w:color w:val="111827"/>
          <w:sz w:val="20"/>
        </w:rPr>
        <w:t>☐  Is it clear which labels apply to the RFQ and which apply to the overall customer account?</w:t>
      </w:r>
    </w:p>
    <w:p>
      <w:r>
        <w:rPr>
          <w:rFonts w:ascii="Calibri" w:hAnsi="Calibri"/>
          <w:b/>
          <w:i w:val="0"/>
          <w:color w:val="111827"/>
          <w:sz w:val="20"/>
        </w:rPr>
        <w:t>Comments or requested changes:</w:t>
      </w:r>
    </w:p>
    <w:p>
      <w:r>
        <w:rPr>
          <w:rFonts w:ascii="Calibri" w:hAnsi="Calibri"/>
          <w:b w:val="0"/>
          <w:i w:val="0"/>
          <w:color w:val="111827"/>
          <w:sz w:val="20"/>
        </w:rPr>
        <w:t>________________________________________________________________________________</w:t>
      </w:r>
    </w:p>
    <w:p>
      <w:r>
        <w:rPr>
          <w:rFonts w:ascii="Calibri" w:hAnsi="Calibri"/>
          <w:b w:val="0"/>
          <w:i w:val="0"/>
          <w:color w:val="111827"/>
          <w:sz w:val="20"/>
        </w:rPr>
        <w:t>________________________________________________________________________________</w:t>
      </w:r>
    </w:p>
    <w:p>
      <w:r>
        <w:rPr>
          <w:rFonts w:ascii="Calibri" w:hAnsi="Calibri"/>
          <w:b w:val="0"/>
          <w:i w:val="0"/>
          <w:color w:val="111827"/>
          <w:sz w:val="20"/>
        </w:rPr>
        <w:t>________________________________________________________________________________</w:t>
      </w:r>
    </w:p>
    <w:p>
      <w:pPr>
        <w:pStyle w:val="Heading1"/>
      </w:pPr>
      <w:r>
        <w:t>7. What Comes Next — Phase 2</w:t>
      </w:r>
    </w:p>
    <w:p>
      <w:r>
        <w:rPr>
          <w:rFonts w:ascii="Calibri" w:hAnsi="Calibri"/>
          <w:b w:val="0"/>
          <w:i w:val="0"/>
          <w:color w:val="111827"/>
          <w:sz w:val="20"/>
        </w:rPr>
        <w:t>Once Phase 1 is validated, Diana and Ben can translate the approved structure into NetSuite. Phase 2 will cover:</w:t>
      </w:r>
    </w:p>
    <w:p>
      <w:pPr>
        <w:pStyle w:val="ListBullet"/>
      </w:pPr>
      <w:r>
        <w:rPr>
          <w:rFonts w:ascii="Calibri" w:hAnsi="Calibri"/>
          <w:b w:val="0"/>
          <w:i w:val="0"/>
          <w:color w:val="111827"/>
          <w:sz w:val="20"/>
        </w:rPr>
        <w:t>The minimum required NetSuite data and any new fields.</w:t>
      </w:r>
    </w:p>
    <w:p>
      <w:pPr>
        <w:pStyle w:val="ListBullet"/>
      </w:pPr>
      <w:r>
        <w:rPr>
          <w:rFonts w:ascii="Calibri" w:hAnsi="Calibri"/>
          <w:b w:val="0"/>
          <w:i w:val="0"/>
          <w:color w:val="111827"/>
          <w:sz w:val="20"/>
        </w:rPr>
        <w:t>Automation, matching rules and data-quality controls.</w:t>
      </w:r>
    </w:p>
    <w:p>
      <w:pPr>
        <w:pStyle w:val="ListBullet"/>
      </w:pPr>
      <w:r>
        <w:rPr>
          <w:rFonts w:ascii="Calibri" w:hAnsi="Calibri"/>
          <w:b w:val="0"/>
          <w:i w:val="0"/>
          <w:color w:val="111827"/>
          <w:sz w:val="20"/>
        </w:rPr>
        <w:t>Workflow testing using representative RFQ scenarios.</w:t>
      </w:r>
    </w:p>
    <w:p>
      <w:pPr>
        <w:pStyle w:val="ListBullet"/>
      </w:pPr>
      <w:r>
        <w:rPr>
          <w:rFonts w:ascii="Calibri" w:hAnsi="Calibri"/>
          <w:b w:val="0"/>
          <w:i w:val="0"/>
          <w:color w:val="111827"/>
          <w:sz w:val="20"/>
        </w:rPr>
        <w:t>Dashboard requirements, departmental validation and activation.</w:t>
      </w:r>
    </w:p>
    <w:tbl>
      <w:tblPr>
        <w:tblStyle w:val="TableGrid"/>
        <w:tblW w:type="dxa" w:w="10166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3E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E6B3A"/>
                <w:sz w:val="19"/>
              </w:rPr>
              <w:t xml:space="preserve">PHASE 1 COMPLETE WHEN  </w:t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The team has approved the current workflow, opportunity stages and account segmentation—or provided clear changes that can be incorporated before the technical setup begins.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79" w:left="1037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7085"/>
        <w:sz w:val="16"/>
      </w:rPr>
      <w:t>Customer journey review •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667085"/>
        <w:sz w:val="16"/>
      </w:rPr>
      <w:t>EINBAU  |  PHASE 1 VALIDATION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7365D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490" w:hanging="245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490" w:hanging="245"/>
      <w:contextualSpacing/>
    </w:pPr>
    <w:rPr>
      <w:rFonts w:ascii="Calibri" w:hAnsi="Calibr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Einbau Phase 1 Customer Journey Validation</dc:title>
  <dc:subject>Current workflow, opportunity stages and account segmentation</dc:subject>
  <dc:creator>Impact Group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