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E3A8A"/>
          <w:bottom w:val="single" w:sz="12" w:space="0" w:color="1E3A8A"/>
          <w:left w:val="none"/>
          <w:right w:val="none"/>
          <w:insideH w:val="single" w:sz="4" w:space="0" w:color="E2E8F0"/>
          <w:insideV w:val="single" w:sz="4" w:space="0" w:color="E2E8F0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blHeader/>
          <w:cantSplit/>
        </w:trPr>
        <w:tc>
          <w:tcPr>
            <w:tcW w:type="dxa" w:w="259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Tên Class / Interface</w:t>
            </w:r>
          </w:p>
        </w:tc>
        <w:tc>
          <w:tcPr>
            <w:tcW w:type="dxa" w:w="115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Tầng</w:t>
            </w:r>
          </w:p>
        </w:tc>
        <w:tc>
          <w:tcPr>
            <w:tcW w:type="dxa" w:w="2448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Trách nhiệm &amp; Thuộc tính chính</w:t>
            </w:r>
          </w:p>
        </w:tc>
        <w:tc>
          <w:tcPr>
            <w:tcW w:type="dxa" w:w="1872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Phương thức chính</w:t>
            </w:r>
          </w:p>
        </w:tc>
        <w:tc>
          <w:tcPr>
            <w:tcW w:type="dxa" w:w="1296"/>
            <w:shd w:fill="1E3A8A"/>
            <w:tcMar>
              <w:top w:w="140" w:type="dxa"/>
              <w:bottom w:w="14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Quan hệ OOP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3A8A"/>
                <w:sz w:val="20"/>
              </w:rPr>
              <w:t>IScoringStrategy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Domain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Interface chung của mẫu Strategy.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calculateScore(data): ScoringResult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Gốc Strategy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3A8A"/>
                <w:sz w:val="20"/>
              </w:rPr>
              <w:t>ObjectiveScoringStrategy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Domain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Chấm trắc nghiệm: đối chiếu Answer Key.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calculateScore(data): ScoringResult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Realize IScoringStrategy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3A8A"/>
                <w:sz w:val="20"/>
              </w:rPr>
              <w:t>AIScoringStrategy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Application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Chấm tự luận: gọi qua IAIEvaluator.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calculateScore(data): ScoringResult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Realize IScoringStrategy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3A8A"/>
                <w:sz w:val="20"/>
              </w:rPr>
              <w:t>IAIEvaluator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Domain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Interface trừu tượng cổng AI.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evaluateEssay(prompt, essay)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Gốc Adapter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b/>
                <w:color w:val="1E3A8A"/>
                <w:sz w:val="20"/>
              </w:rPr>
              <w:t>AIAdapter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Infrastructure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Chuyển đổi giao tiếp với Gemini API.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evaluateEssay(prompt, essay)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/>
                <w:color w:val="0F172A"/>
                <w:sz w:val="20"/>
              </w:rPr>
              <w:t>Realize IAIEvaluator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