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outlineLvl w:val="0"/>
      </w:pPr>
      <w:r>
        <w:t>MỤC LỤC</w:t>
      </w:r>
    </w:p>
    <w:p>
      <w:pPr>
        <w:tabs>
          <w:tab w:val="right" w:leader="dot" w:pos="9360"/>
        </w:tabs>
        <w:spacing w:before="80" w:after="40" w:line="276" w:lineRule="auto"/>
        <w:ind w:left="0"/>
      </w:pPr>
      <w:r>
        <w:rPr>
          <w:rFonts w:ascii="Times New Roman" w:hAnsi="Times New Roman"/>
          <w:b/>
          <w:color w:val="1E3A8A"/>
          <w:sz w:val="23"/>
        </w:rPr>
        <w:t>CHƯƠNG 1. GIỚI THIỆU VÀ ĐẶC TẢ BÀI TOÁN</w:t>
      </w:r>
      <w:r>
        <w:rPr>
          <w:rFonts w:ascii="Times New Roman" w:hAnsi="Times New Roman"/>
          <w:b/>
          <w:sz w:val="22"/>
        </w:rPr>
        <w:tab/>
        <w:t>8</w:t>
      </w:r>
    </w:p>
    <w:p>
      <w:pPr>
        <w:tabs>
          <w:tab w:val="right" w:leader="dot" w:pos="9360"/>
        </w:tabs>
        <w:spacing w:before="20" w:after="40" w:line="276" w:lineRule="auto"/>
        <w:ind w:left="360"/>
      </w:pPr>
      <w:r>
        <w:rPr>
          <w:rFonts w:ascii="Times New Roman" w:hAnsi="Times New Roman"/>
          <w:b/>
          <w:color w:val="0F172A"/>
          <w:sz w:val="22"/>
        </w:rPr>
        <w:t>1.1. Lý do chọn đề tài và mục tiêu phát triển hệ thống</w:t>
      </w:r>
      <w:r>
        <w:rPr>
          <w:rFonts w:ascii="Times New Roman" w:hAnsi="Times New Roman"/>
          <w:sz w:val="22"/>
        </w:rPr>
        <w:tab/>
        <w:t>8</w:t>
      </w:r>
    </w:p>
    <w:p>
      <w:pPr>
        <w:tabs>
          <w:tab w:val="right" w:leader="dot" w:pos="9360"/>
        </w:tabs>
        <w:spacing w:before="20" w:after="40" w:line="276" w:lineRule="auto"/>
        <w:ind w:left="648"/>
      </w:pPr>
      <w:r>
        <w:rPr>
          <w:rFonts w:ascii="Times New Roman" w:hAnsi="Times New Roman"/>
          <w:color w:val="334155"/>
          <w:sz w:val="22"/>
        </w:rPr>
        <w:t>1.1.1. Bối cảnh thực tiễn và tính cấp thiết của chuẩn VSTEP</w:t>
      </w:r>
      <w:r>
        <w:rPr>
          <w:rFonts w:ascii="Times New Roman" w:hAnsi="Times New Roman"/>
          <w:sz w:val="22"/>
        </w:rPr>
        <w:tab/>
        <w:t>8</w:t>
      </w:r>
    </w:p>
    <w:p>
      <w:pPr>
        <w:tabs>
          <w:tab w:val="right" w:leader="dot" w:pos="9360"/>
        </w:tabs>
        <w:spacing w:before="20" w:after="40" w:line="276" w:lineRule="auto"/>
        <w:ind w:left="648"/>
      </w:pPr>
      <w:r>
        <w:rPr>
          <w:rFonts w:ascii="Times New Roman" w:hAnsi="Times New Roman"/>
          <w:color w:val="334155"/>
          <w:sz w:val="22"/>
        </w:rPr>
        <w:t>1.1.2. Mục tiêu nghiên cứu và sản phẩm kỳ vọng</w:t>
      </w:r>
      <w:r>
        <w:rPr>
          <w:rFonts w:ascii="Times New Roman" w:hAnsi="Times New Roman"/>
          <w:sz w:val="22"/>
        </w:rPr>
        <w:tab/>
        <w:t>8</w:t>
      </w:r>
    </w:p>
    <w:p>
      <w:pPr>
        <w:tabs>
          <w:tab w:val="right" w:leader="dot" w:pos="9360"/>
        </w:tabs>
        <w:spacing w:before="20" w:after="40" w:line="276" w:lineRule="auto"/>
        <w:ind w:left="360"/>
      </w:pPr>
      <w:r>
        <w:rPr>
          <w:rFonts w:ascii="Times New Roman" w:hAnsi="Times New Roman"/>
          <w:b/>
          <w:color w:val="0F172A"/>
          <w:sz w:val="22"/>
        </w:rPr>
        <w:t>1.2. Khảo sát hiện trạng thực tế và Đối sánh giải pháp thị trường</w:t>
      </w:r>
      <w:r>
        <w:rPr>
          <w:rFonts w:ascii="Times New Roman" w:hAnsi="Times New Roman"/>
          <w:sz w:val="22"/>
        </w:rPr>
        <w:tab/>
        <w:t>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