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b/>
          <w:bCs/>
          <w:color w:val="C82020"/>
          <w:sz w:val="56"/>
          <w:szCs w:val="56"/>
        </w:rPr>
        <w:t xml:space="preserve">VNFITE</w:t>
      </w:r>
    </w:p>
    <w:p>
      <w:pPr>
        <w:spacing w:after="40"/>
        <w:jc w:val="center"/>
      </w:pPr>
      <w:r>
        <w:rPr>
          <w:b/>
          <w:bCs/>
          <w:color w:val="6B7280"/>
          <w:sz w:val="20"/>
          <w:szCs w:val="20"/>
        </w:rPr>
        <w:t xml:space="preserve">NỀN TẢNG CHO VAY NGANG HÀNG</w:t>
      </w:r>
    </w:p>
    <w:p>
      <w:pPr>
        <w:pBdr>
          <w:bottom w:val="single" w:color="C82020" w:sz="12" w:space="8"/>
        </w:pBdr>
        <w:spacing w:after="480"/>
        <w:jc w:val="center"/>
      </w:pPr>
      <w:r>
        <w:t xml:space="preserve"/>
      </w:r>
    </w:p>
    <w:p>
      <w:pPr>
        <w:spacing w:after="200"/>
        <w:jc w:val="center"/>
      </w:pPr>
      <w:r>
        <w:rPr>
          <w:i/>
          <w:iCs/>
          <w:color w:val="6B7280"/>
          <w:sz w:val="20"/>
          <w:szCs w:val="20"/>
        </w:rPr>
        <w:t xml:space="preserve">Số: ……/2026/TTr-VNFITE</w:t>
      </w:r>
    </w:p>
    <w:p>
      <w:pPr>
        <w:spacing w:after="120" w:before="600"/>
        <w:jc w:val="center"/>
      </w:pPr>
      <w:r>
        <w:rPr>
          <w:b/>
          <w:bCs/>
          <w:color w:val="8B0A0A"/>
          <w:sz w:val="40"/>
          <w:szCs w:val="40"/>
        </w:rPr>
        <w:t xml:space="preserve">PHƯƠNG ÁN TRIỂN KHAI HỢP ĐỒNG ĐIỆN TỬ &amp; CHỮ KÝ SỐ</w:t>
      </w:r>
    </w:p>
    <w:p>
      <w:pPr>
        <w:spacing w:after="40"/>
        <w:jc w:val="center"/>
      </w:pPr>
      <w:r>
        <w:rPr>
          <w:color w:val="111827"/>
          <w:sz w:val="26"/>
          <w:szCs w:val="26"/>
        </w:rPr>
        <w:t xml:space="preserve">Tích hợp giải pháp VNPT (SmartCA – VNPT-CA – VNPT eContract)</w:t>
      </w:r>
    </w:p>
    <w:p>
      <w:pPr>
        <w:spacing w:after="600"/>
        <w:jc w:val="center"/>
      </w:pPr>
      <w:r>
        <w:rPr>
          <w:color w:val="111827"/>
          <w:sz w:val="26"/>
          <w:szCs w:val="26"/>
        </w:rPr>
        <w:t xml:space="preserve">vào nền tảng cho vay ngang hàng VNFITE</w:t>
      </w:r>
    </w:p>
    <w:p>
      <w:pPr>
        <w:spacing w:before="4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Đơn vị trình</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Khối Công nghệ / Sản phẩm</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Cấp phê duyệt</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Ban Lãnh đạo</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Đối tác giải pháp</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Tập đoàn VNPT</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Phiên bản</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v1.0 – Dự thảo</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Ngày lập</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 / …… / 2026</w:t>
            </w:r>
          </w:p>
        </w:tc>
      </w:tr>
    </w:tbl>
    <w:p>
      <w:r>
        <w:br w:type="page"/>
      </w:r>
    </w:p>
    <w:p>
      <w:pPr>
        <w:spacing w:after="160"/>
      </w:pPr>
      <w:r>
        <w:rPr>
          <w:b/>
          <w:bCs/>
          <w:color w:val="8B0A0A"/>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Bối cảnh và mục tiêu</w:t>
      </w:r>
    </w:p>
    <w:p>
      <w:pPr>
        <w:pStyle w:val="Heading2"/>
      </w:pPr>
      <w:r>
        <w:t xml:space="preserve">1.1. Bối cảnh</w:t>
      </w:r>
    </w:p>
    <w:p>
      <w:pPr>
        <w:spacing w:after="120" w:line="276"/>
      </w:pPr>
      <w:r>
        <w:t xml:space="preserve">VNFITE vận hành nền tảng cho vay ngang hàng (P2P Lending) kết nối người gọi vốn và nhà đầu tư. Mỗi khoản gọi vốn có thể được nhiều nhà đầu tư cùng tham gia, do đó phát sinh nhiều quan hệ cho vay dân sự cần được xác lập bằng văn bản có giá trị pháp lý và giá trị chứng cứ khi xảy ra tranh chấp/thu hồi nợ.</w:t>
      </w:r>
    </w:p>
    <w:p>
      <w:pPr>
        <w:spacing w:after="120" w:line="276"/>
      </w:pPr>
      <w:r>
        <w:t xml:space="preserve">Việc ký kết thủ công bằng giấy không khả thi với mô hình số hóa toàn trình trên ứng dụng di động. VNFITE cần một giải pháp hợp đồng điện tử và chữ ký số được pháp luật công nhận, tích hợp trực tiếp vào luồng nghiệp vụ hiện có.</w:t>
      </w:r>
    </w:p>
    <w:p>
      <w:pPr>
        <w:pStyle w:val="Heading2"/>
      </w:pPr>
      <w:r>
        <w:t xml:space="preserve">1.2. Mục tiêu của phương án</w:t>
      </w:r>
    </w:p>
    <w:p>
      <w:pPr>
        <w:pStyle w:val="ListParagraph"/>
        <w:numPr>
          <w:ilvl w:val="0"/>
          <w:numId w:val="2"/>
        </w:numPr>
        <w:spacing w:after="80" w:line="264"/>
      </w:pPr>
      <w:r>
        <w:t xml:space="preserve">Số hóa toàn bộ vòng đời hợp đồng: tạo lập – ký – lưu trữ – tra cứu – xuất bằng chứng, không cần giấy.</w:t>
      </w:r>
    </w:p>
    <w:p>
      <w:pPr>
        <w:pStyle w:val="ListParagraph"/>
        <w:numPr>
          <w:ilvl w:val="0"/>
          <w:numId w:val="2"/>
        </w:numPr>
        <w:spacing w:after="80" w:line="264"/>
      </w:pPr>
      <w:r>
        <w:t xml:space="preserve">Bảo đảm giá trị pháp lý theo Luật Giao dịch điện tử 2023 và giá trị chứng cứ trước tòa.</w:t>
      </w:r>
    </w:p>
    <w:p>
      <w:pPr>
        <w:pStyle w:val="ListParagraph"/>
        <w:numPr>
          <w:ilvl w:val="0"/>
          <w:numId w:val="2"/>
        </w:numPr>
        <w:spacing w:after="80" w:line="264"/>
      </w:pPr>
      <w:r>
        <w:t xml:space="preserve">Khách hàng (người gọi vốn, nhà đầu tư) ký bằng chữ ký điện tử/chữ ký số từ xa thuận tiện trên điện thoại.</w:t>
      </w:r>
    </w:p>
    <w:p>
      <w:pPr>
        <w:pStyle w:val="ListParagraph"/>
        <w:numPr>
          <w:ilvl w:val="0"/>
          <w:numId w:val="2"/>
        </w:numPr>
        <w:spacing w:after="80" w:line="264"/>
      </w:pPr>
      <w:r>
        <w:t xml:space="preserve">VNFITE ký bằng chữ ký số tổ chức (con dấu điện tử) tự động phía máy chủ.</w:t>
      </w:r>
    </w:p>
    <w:p>
      <w:pPr>
        <w:pStyle w:val="ListParagraph"/>
        <w:numPr>
          <w:ilvl w:val="0"/>
          <w:numId w:val="2"/>
        </w:numPr>
        <w:spacing w:after="80" w:line="264"/>
      </w:pPr>
      <w:r>
        <w:t xml:space="preserve">Tích hợp gọn vào kiến trúc microservices hiện tại, không phá vỡ luồng duyệt khoản gọi vốn đang chạy.</w:t>
      </w:r>
    </w:p>
    <w:p>
      <w:pPr>
        <w:pStyle w:val="Heading1"/>
      </w:pPr>
      <w:r>
        <w:t xml:space="preserve">2. Tổng quan giải pháp VNPT</w:t>
      </w:r>
    </w:p>
    <w:p>
      <w:pPr>
        <w:spacing w:after="120" w:line="276"/>
      </w:pPr>
      <w:r>
        <w:t xml:space="preserve">VNFITE lựa chọn VNPT làm đối tác cung cấp đồng bộ 03 cấu phần, đều do VNPT vận hành nên thuận lợi về tích hợp, hợp đồng và hỗ trợ: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Cấu phần VNPT</w:t>
            </w:r>
          </w:p>
        </w:tc>
        <w:tc>
          <w:tcPr>
            <w:tcW w:type="dxa" w:w="368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Vai trò trong hệ thống</w:t>
            </w:r>
          </w:p>
        </w:tc>
        <w:tc>
          <w:tcPr>
            <w:tcW w:type="dxa" w:w="328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Đối tượng sử dụng</w:t>
            </w:r>
          </w:p>
        </w:tc>
      </w:tr>
      <w:tr>
        <w:tc>
          <w:tcPr>
            <w:tcW w:type="dxa" w:w="2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VNPT SmartCA</w:t>
            </w:r>
          </w:p>
        </w:tc>
        <w:tc>
          <w:tcPr>
            <w:tcW w:type="dxa" w:w="36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Chữ ký số từ xa (remote signing) – ký trên đám mây, xác thực qua ứng dụng SmartCA bằng PIN/sinh trắc học. Theo chuẩn CSC, được Bộ TT&amp;TT (NEAC) cấp phép.</w:t>
            </w:r>
          </w:p>
        </w:tc>
        <w:tc>
          <w:tcPr>
            <w:tcW w:type="dxa" w:w="32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Khách hàng: người gọi vốn &amp; nhà đầu tư</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VNPT-CA</w:t>
            </w:r>
          </w:p>
        </w:tc>
        <w:tc>
          <w:tcPr>
            <w:tcW w:type="dxa" w:w="368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Chữ ký số công cộng cho tổ chức (HSM/USB token) – đóng vai trò con dấu điện tử của VNFITE, ký tự động phía máy chủ.</w:t>
            </w:r>
          </w:p>
        </w:tc>
        <w:tc>
          <w:tcPr>
            <w:tcW w:type="dxa" w:w="328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VNFITE (pháp nhân)</w:t>
            </w:r>
          </w:p>
        </w:tc>
      </w:tr>
      <w:tr>
        <w:tc>
          <w:tcPr>
            <w:tcW w:type="dxa" w:w="2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VNPT eContract</w:t>
            </w:r>
          </w:p>
        </w:tc>
        <w:tc>
          <w:tcPr>
            <w:tcW w:type="dxa" w:w="36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Nền tảng quản lý &amp; chứng thực hợp đồng điện tử. VNPT là tổ chức chứng thực hợp đồng điện tử (CeCA) thuộc Trục phát triển HĐĐT của Bộ Công Thương – cấp dấu thời gian, lưu vết, tăng giá trị chứng cứ.</w:t>
            </w:r>
          </w:p>
        </w:tc>
        <w:tc>
          <w:tcPr>
            <w:tcW w:type="dxa" w:w="32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Hệ thống VNFITE (B2B)</w:t>
            </w:r>
          </w:p>
        </w:tc>
      </w:tr>
    </w:tbl>
    <w:p>
      <w:pPr>
        <w:spacing w:after="160" w:line="276"/>
      </w:pPr>
      <w:r>
        <w:rPr>
          <w:b/>
          <w:bCs/>
        </w:rPr>
        <w:t xml:space="preserve">Ý nghĩa pháp lý của tổ hợp này: </w:t>
      </w:r>
      <w:r>
        <w:t xml:space="preserve">chữ ký số từ xa SmartCA của khách hàng có giá trị tương đương chữ ký tay; chữ ký số VNPT-CA của VNFITE có giá trị tương đương chữ ký + con dấu của tổ chức; chứng thực qua CeCA bổ sung dấu thời gian và lưu vết được công nhận. Đây là mức bảo đảm pháp lý cao nhất hiện có cho hợp đồng điện tử tại Việt Nam.</w:t>
      </w:r>
    </w:p>
    <w:p>
      <w:pPr>
        <w:pStyle w:val="Heading1"/>
      </w:pPr>
      <w:r>
        <w:t xml:space="preserve">3. Mô hình hợp đồng và chữ ký áp dụng cho VNFITE</w:t>
      </w:r>
    </w:p>
    <w:p>
      <w:pPr>
        <w:spacing w:after="120" w:line="276"/>
      </w:pPr>
      <w:r>
        <w:rPr>
          <w:b/>
          <w:bCs/>
        </w:rPr>
        <w:t xml:space="preserve">Nguyên tắc pháp lý nền tảng: </w:t>
      </w:r>
      <w:r>
        <w:t xml:space="preserve">VNFITE là trung gian kết nối, KHÔNG phải bên cho vay. Quan hệ vay là hợp đồng dân sự trực tiếp giữa người gọi vốn và nhà đầu tư. Vì vậy mỗi nhà đầu tư tham gia một khoản sẽ phát sinh một quan hệ cho vay riêng.</w:t>
      </w:r>
    </w:p>
    <w:p>
      <w:pPr>
        <w:pStyle w:val="Heading2"/>
      </w:pPr>
      <w:r>
        <w:t xml:space="preserve">3.1. Danh mục hợp đồng phát sinh</w:t>
      </w:r>
    </w:p>
    <w:p>
      <w:pPr>
        <w:pStyle w:val="Heading3"/>
      </w:pPr>
      <w:r>
        <w:t xml:space="preserve">Nhóm A – Hợp đồng khung / onboarding (ký một lần)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2200"/>
        <w:gridCol w:w="1600"/>
      </w:tblGrid>
      <w:tr>
        <w:trPr>
          <w:tblHeader/>
        </w:trPr>
        <w:tc>
          <w:tcPr>
            <w:tcW w:type="dxa" w:w="12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Mã</w:t>
            </w:r>
          </w:p>
        </w:tc>
        <w:tc>
          <w:tcPr>
            <w:tcW w:type="dxa" w:w="43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Tên</w:t>
            </w:r>
          </w:p>
        </w:tc>
        <w:tc>
          <w:tcPr>
            <w:tcW w:type="dxa" w:w="22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Bên ký</w:t>
            </w:r>
          </w:p>
        </w:tc>
        <w:tc>
          <w:tcPr>
            <w:tcW w:type="dxa" w:w="16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Loại chữ ký</w:t>
            </w:r>
          </w:p>
        </w:tc>
      </w:tr>
      <w:tr>
        <w:tc>
          <w:tcPr>
            <w:tcW w:type="dxa" w:w="1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A1</w:t>
            </w:r>
          </w:p>
        </w:tc>
        <w:tc>
          <w:tcPr>
            <w:tcW w:type="dxa" w:w="43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Thỏa thuận người dùng / Điều khoản dịch vụ</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Khách hàng – VNFITE</w:t>
            </w:r>
          </w:p>
        </w:tc>
        <w:tc>
          <w:tcPr>
            <w:tcW w:type="dxa" w:w="1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CKĐT</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A2</w:t>
            </w:r>
          </w:p>
        </w:tc>
        <w:tc>
          <w:tcPr>
            <w:tcW w:type="dxa" w:w="43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Đồng ý xử lý dữ liệu cá nhân (NĐ 13/2023)</w:t>
            </w:r>
          </w:p>
        </w:tc>
        <w:tc>
          <w:tcPr>
            <w:tcW w:type="dxa" w:w="2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Khách hàng – VNFITE</w:t>
            </w:r>
          </w:p>
        </w:tc>
        <w:tc>
          <w:tcPr>
            <w:tcW w:type="dxa" w:w="1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CKĐT</w:t>
            </w:r>
          </w:p>
        </w:tc>
      </w:tr>
      <w:tr>
        <w:tc>
          <w:tcPr>
            <w:tcW w:type="dxa" w:w="1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A3</w:t>
            </w:r>
          </w:p>
        </w:tc>
        <w:tc>
          <w:tcPr>
            <w:tcW w:type="dxa" w:w="43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HĐ dịch vụ kết nối khung – người gọi vốn</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Người gọi vốn – VNFITE</w:t>
            </w:r>
          </w:p>
        </w:tc>
        <w:tc>
          <w:tcPr>
            <w:tcW w:type="dxa" w:w="1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CKĐT/CKS</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A4</w:t>
            </w:r>
          </w:p>
        </w:tc>
        <w:tc>
          <w:tcPr>
            <w:tcW w:type="dxa" w:w="43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HĐ dịch vụ kết nối khung – nhà đầu tư</w:t>
            </w:r>
          </w:p>
        </w:tc>
        <w:tc>
          <w:tcPr>
            <w:tcW w:type="dxa" w:w="2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Nhà đầu tư – VNFITE</w:t>
            </w:r>
          </w:p>
        </w:tc>
        <w:tc>
          <w:tcPr>
            <w:tcW w:type="dxa" w:w="1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CKĐT/CKS</w:t>
            </w:r>
          </w:p>
        </w:tc>
      </w:tr>
    </w:tbl>
    <w:p>
      <w:pPr>
        <w:pStyle w:val="Heading3"/>
      </w:pPr>
      <w:r>
        <w:t xml:space="preserve">Nhóm B – Hợp đồng theo từng khoản vay (trọng tâm)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2200"/>
        <w:gridCol w:w="1600"/>
      </w:tblGrid>
      <w:tr>
        <w:trPr>
          <w:tblHeader/>
        </w:trPr>
        <w:tc>
          <w:tcPr>
            <w:tcW w:type="dxa" w:w="12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Mã</w:t>
            </w:r>
          </w:p>
        </w:tc>
        <w:tc>
          <w:tcPr>
            <w:tcW w:type="dxa" w:w="43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Tên</w:t>
            </w:r>
          </w:p>
        </w:tc>
        <w:tc>
          <w:tcPr>
            <w:tcW w:type="dxa" w:w="22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Bên ký</w:t>
            </w:r>
          </w:p>
        </w:tc>
        <w:tc>
          <w:tcPr>
            <w:tcW w:type="dxa" w:w="16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Loại chữ ký</w:t>
            </w:r>
          </w:p>
        </w:tc>
      </w:tr>
      <w:tr>
        <w:tc>
          <w:tcPr>
            <w:tcW w:type="dxa" w:w="1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B1</w:t>
            </w:r>
          </w:p>
        </w:tc>
        <w:tc>
          <w:tcPr>
            <w:tcW w:type="dxa" w:w="43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Đề nghị vay &amp; Cam kết điều kiện (số tiền, lãi suất, kỳ hạn)</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Người gọi vốn</w:t>
            </w:r>
          </w:p>
        </w:tc>
        <w:tc>
          <w:tcPr>
            <w:tcW w:type="dxa" w:w="1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CKS từ xa</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B2-K</w:t>
            </w:r>
          </w:p>
        </w:tc>
        <w:tc>
          <w:tcPr>
            <w:tcW w:type="dxa" w:w="43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Hợp đồng vay khung (cam kết trả toàn bộ số tiền)</w:t>
            </w:r>
          </w:p>
        </w:tc>
        <w:tc>
          <w:tcPr>
            <w:tcW w:type="dxa" w:w="2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Người gọi vốn + VNFITE</w:t>
            </w:r>
          </w:p>
        </w:tc>
        <w:tc>
          <w:tcPr>
            <w:tcW w:type="dxa" w:w="1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CKS từ xa + CKS</w:t>
            </w:r>
          </w:p>
        </w:tc>
      </w:tr>
      <w:tr>
        <w:tc>
          <w:tcPr>
            <w:tcW w:type="dxa" w:w="1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B2-TP</w:t>
            </w:r>
          </w:p>
        </w:tc>
        <w:tc>
          <w:tcPr>
            <w:tcW w:type="dxa" w:w="43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Hợp đồng cho vay thành phần (theo phần vốn từng nhà đầu tư)</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Nhà đầu tư + VNFITE</w:t>
            </w:r>
          </w:p>
        </w:tc>
        <w:tc>
          <w:tcPr>
            <w:tcW w:type="dxa" w:w="1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CKS từ xa + CKS</w:t>
            </w:r>
          </w:p>
        </w:tc>
      </w:tr>
    </w:tbl>
    <w:p>
      <w:pPr>
        <w:pStyle w:val="Heading3"/>
      </w:pPr>
      <w:r>
        <w:t xml:space="preserve">Nhóm C – Vận hành &amp; kết thúc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rPr>
          <w:tblHeader/>
        </w:trPr>
        <w:tc>
          <w:tcPr>
            <w:tcW w:type="dxa" w:w="12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Mã</w:t>
            </w:r>
          </w:p>
        </w:tc>
        <w:tc>
          <w:tcPr>
            <w:tcW w:type="dxa" w:w="52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Văn bản</w:t>
            </w:r>
          </w:p>
        </w:tc>
        <w:tc>
          <w:tcPr>
            <w:tcW w:type="dxa" w:w="29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Ghi chú</w:t>
            </w:r>
          </w:p>
        </w:tc>
      </w:tr>
      <w:tr>
        <w:tc>
          <w:tcPr>
            <w:tcW w:type="dxa" w:w="1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C1</w:t>
            </w:r>
          </w:p>
        </w:tc>
        <w:tc>
          <w:tcPr>
            <w:tcW w:type="dxa" w:w="5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Khế ước / Xác nhận giải ngân</w:t>
            </w:r>
          </w:p>
        </w:tc>
        <w:tc>
          <w:tcPr>
            <w:tcW w:type="dxa" w:w="2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Sau khi đủ vốn (FUNDED)</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C2</w:t>
            </w:r>
          </w:p>
        </w:tc>
        <w:tc>
          <w:tcPr>
            <w:tcW w:type="dxa" w:w="5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Biên lai trả nợ từng kỳ</w:t>
            </w:r>
          </w:p>
        </w:tc>
        <w:tc>
          <w:tcPr>
            <w:tcW w:type="dxa" w:w="29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Chứng từ – chỉ chữ ký số VNFITE, không cần KH ký lại</w:t>
            </w:r>
          </w:p>
        </w:tc>
      </w:tr>
      <w:tr>
        <w:tc>
          <w:tcPr>
            <w:tcW w:type="dxa" w:w="1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C3</w:t>
            </w:r>
          </w:p>
        </w:tc>
        <w:tc>
          <w:tcPr>
            <w:tcW w:type="dxa" w:w="5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Biên bản thanh lý / tất toán</w:t>
            </w:r>
          </w:p>
        </w:tc>
        <w:tc>
          <w:tcPr>
            <w:tcW w:type="dxa" w:w="2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Khi COMPLETED</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C4</w:t>
            </w:r>
          </w:p>
        </w:tc>
        <w:tc>
          <w:tcPr>
            <w:tcW w:type="dxa" w:w="5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Chuyển nhượng / xử lý nợ (nếu có)</w:t>
            </w:r>
          </w:p>
        </w:tc>
        <w:tc>
          <w:tcPr>
            <w:tcW w:type="dxa" w:w="29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Phát sinh khi DEFAULTED</w:t>
            </w:r>
          </w:p>
        </w:tc>
      </w:tr>
    </w:tbl>
    <w:p>
      <w:pPr>
        <w:pStyle w:val="Heading2"/>
      </w:pPr>
      <w:r>
        <w:t xml:space="preserve">3.2. Phương án ký được lựa chọn: Hybrid "Khung + Thành phần"</w:t>
      </w:r>
    </w:p>
    <w:p>
      <w:pPr>
        <w:spacing w:after="120" w:line="276"/>
      </w:pPr>
      <w:r>
        <w:t xml:space="preserve">Do một khoản gọi vốn được tối đa 10 nhà đầu tư tham gia và vốn vào tăng dần theo thời gian, VNFITE áp dụng mô hình lai để tối ưu số lần ký:</w:t>
      </w:r>
    </w:p>
    <w:p>
      <w:pPr>
        <w:pStyle w:val="ListParagraph"/>
        <w:numPr>
          <w:ilvl w:val="0"/>
          <w:numId w:val="2"/>
        </w:numPr>
        <w:spacing w:after="80" w:line="264"/>
      </w:pPr>
      <w:r>
        <w:rPr>
          <w:b/>
          <w:bCs/>
        </w:rPr>
        <w:t xml:space="preserve">Người gọi vốn ký 01 lần</w:t>
      </w:r>
      <w:r>
        <w:t xml:space="preserve"> – Hợp đồng vay khung (B2-K) cam kết trả toàn bộ số tiền đã được phê duyệt, tại bước xác nhận điều kiện.</w:t>
      </w:r>
    </w:p>
    <w:p>
      <w:pPr>
        <w:pStyle w:val="ListParagraph"/>
        <w:numPr>
          <w:ilvl w:val="0"/>
          <w:numId w:val="2"/>
        </w:numPr>
        <w:spacing w:after="80" w:line="264"/>
      </w:pPr>
      <w:r>
        <w:rPr>
          <w:b/>
          <w:bCs/>
        </w:rPr>
        <w:t xml:space="preserve">Mỗi nhà đầu tư ký 01 hợp đồng thành phần</w:t>
      </w:r>
      <w:r>
        <w:t xml:space="preserve"> (B2-TP) cho đúng phần vốn của mình, ngay khi chốt đầu tư.</w:t>
      </w:r>
    </w:p>
    <w:p>
      <w:pPr>
        <w:pStyle w:val="ListParagraph"/>
        <w:numPr>
          <w:ilvl w:val="0"/>
          <w:numId w:val="2"/>
        </w:numPr>
        <w:spacing w:after="80" w:line="264"/>
      </w:pPr>
      <w:r>
        <w:rPr>
          <w:b/>
          <w:bCs/>
        </w:rPr>
        <w:t xml:space="preserve">VNFITE ký số xác thực</w:t>
      </w:r>
      <w:r>
        <w:t xml:space="preserve"> từng văn bản (đóng vai trò con dấu điện tử + xác nhận trung gian).</w:t>
      </w:r>
    </w:p>
    <w:p>
      <w:pPr>
        <w:spacing w:after="160" w:line="276"/>
      </w:pPr>
      <w:r>
        <w:rPr>
          <w:b/>
          <w:bCs/>
        </w:rPr>
        <w:t xml:space="preserve">Số hợp đồng cần ký cho 01 khoản có N nhà đầu tư = N + 3 </w:t>
      </w:r>
      <w:r>
        <w:t xml:space="preserve">(gồm B2-K, N × B2-TP, C1 giải ngân, C3 thanh lý). Ví dụ N = 5 ⇒ 8 văn bản ký; người gọi vốn chỉ ký 01 lần.</w:t>
      </w:r>
    </w:p>
    <w:p>
      <w:r>
        <w:br w:type="page"/>
      </w:r>
    </w:p>
    <w:p>
      <w:pPr>
        <w:pStyle w:val="Heading1"/>
      </w:pPr>
      <w:r>
        <w:t xml:space="preserve">4. Kiến trúc tích hợp kỹ thuật</w:t>
      </w:r>
    </w:p>
    <w:p>
      <w:pPr>
        <w:pStyle w:val="Heading2"/>
      </w:pPr>
      <w:r>
        <w:t xml:space="preserve">4.1. Thành phần mới: contract-service</w:t>
      </w:r>
    </w:p>
    <w:p>
      <w:pPr>
        <w:spacing w:after="120" w:line="276"/>
      </w:pPr>
      <w:r>
        <w:t xml:space="preserve">Bổ sung một microservice contract-service (Java 21 / Spring Boot, tuân theo chuẩn của hệ thống) chịu trách nhiệm toàn bộ vòng đời hợp đồng, tách biệt với loan-service:</w:t>
      </w:r>
    </w:p>
    <w:p>
      <w:pPr>
        <w:pStyle w:val="ListParagraph"/>
        <w:numPr>
          <w:ilvl w:val="0"/>
          <w:numId w:val="2"/>
        </w:numPr>
        <w:spacing w:after="80" w:line="264"/>
      </w:pPr>
      <w:r>
        <w:t xml:space="preserve">Sinh hợp đồng PDF từ template + dữ liệu khoản vay (template engine).</w:t>
      </w:r>
    </w:p>
    <w:p>
      <w:pPr>
        <w:pStyle w:val="ListParagraph"/>
        <w:numPr>
          <w:ilvl w:val="0"/>
          <w:numId w:val="2"/>
        </w:numPr>
        <w:spacing w:after="80" w:line="264"/>
      </w:pPr>
      <w:r>
        <w:t xml:space="preserve">Điều phối ký: gọi VNPT SmartCA (khách hàng) và VNPT-CA (VNFITE), nhận callback.</w:t>
      </w:r>
    </w:p>
    <w:p>
      <w:pPr>
        <w:pStyle w:val="ListParagraph"/>
        <w:numPr>
          <w:ilvl w:val="0"/>
          <w:numId w:val="2"/>
        </w:numPr>
        <w:spacing w:after="80" w:line="264"/>
      </w:pPr>
      <w:r>
        <w:t xml:space="preserve">Lưu trữ file đã ký + mã băm (SHA-256) + nhật ký ký (audit trail).</w:t>
      </w:r>
    </w:p>
    <w:p>
      <w:pPr>
        <w:pStyle w:val="ListParagraph"/>
        <w:numPr>
          <w:ilvl w:val="0"/>
          <w:numId w:val="2"/>
        </w:numPr>
        <w:spacing w:after="80" w:line="264"/>
      </w:pPr>
      <w:r>
        <w:t xml:space="preserve">Đăng ký chứng thực với VNPT eContract (CeCA) để lấy dấu thời gian.</w:t>
      </w:r>
    </w:p>
    <w:p>
      <w:pPr>
        <w:pStyle w:val="ListParagraph"/>
        <w:numPr>
          <w:ilvl w:val="0"/>
          <w:numId w:val="2"/>
        </w:numPr>
        <w:spacing w:after="80" w:line="264"/>
      </w:pPr>
      <w:r>
        <w:t xml:space="preserve">Phát sự kiện Kafka: contract.created, contract.signed, contract.completed → notification-service đẩy thông báo cho khách hàng.</w:t>
      </w:r>
    </w:p>
    <w:p>
      <w:pPr>
        <w:pStyle w:val="Heading3"/>
      </w:pPr>
      <w:r>
        <w:t xml:space="preserve">Bảng dữ liệu chính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Bảng</w:t>
            </w:r>
          </w:p>
        </w:tc>
        <w:tc>
          <w:tcPr>
            <w:tcW w:type="dxa" w:w="67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Trường chính</w:t>
            </w:r>
          </w:p>
        </w:tc>
      </w:tr>
      <w:tr>
        <w:tc>
          <w:tcPr>
            <w:tcW w:type="dxa" w:w="2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contracts</w:t>
            </w:r>
          </w:p>
        </w:tc>
        <w:tc>
          <w:tcPr>
            <w:tcW w:type="dxa" w:w="6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id (UUID), contract_type (A1..C4), loan_id, borrower_id, investor_id (nullable), status, file_url, file_hash, ceca_ref, signed_at, is_deleted, created_at, updated_at</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contract_signatures</w:t>
            </w:r>
          </w:p>
        </w:tc>
        <w:tc>
          <w:tcPr>
            <w:tcW w:type="dxa" w:w="6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id, contract_id, signer_id, signer_role (BORROWER/INVESTOR/VNFITE), signature_type (SMARTCA/VNPT_CA/E_SIGN), provider_txn_id, signed_at, ip, device_key</w:t>
            </w:r>
          </w:p>
        </w:tc>
      </w:tr>
      <w:tr>
        <w:tc>
          <w:tcPr>
            <w:tcW w:type="dxa" w:w="2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contract_templates</w:t>
            </w:r>
          </w:p>
        </w:tc>
        <w:tc>
          <w:tcPr>
            <w:tcW w:type="dxa" w:w="6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id, code, version, body (HTML/định dạng), active, created_at</w:t>
            </w:r>
          </w:p>
        </w:tc>
      </w:tr>
    </w:tbl>
    <w:p>
      <w:pPr>
        <w:spacing w:after="120" w:line="276"/>
      </w:pPr>
      <w:r>
        <w:rPr>
          <w:b/>
          <w:bCs/>
        </w:rPr>
        <w:t xml:space="preserve">Tuân thủ chuẩn dự án: </w:t>
      </w:r>
      <w:r>
        <w:t xml:space="preserve">mọi bảng có is_deleted, created_at, updated_at; ID kiểu UUID VARCHAR(36); enum lưu STRING; mọi method service có @Transactional; khóa Redis có namespace theo môi trường.</w:t>
      </w:r>
    </w:p>
    <w:p>
      <w:pPr>
        <w:pStyle w:val="Heading2"/>
      </w:pPr>
      <w:r>
        <w:t xml:space="preserve">4.2. Luồng ký chữ ký số từ xa (VNPT SmartCA)</w:t>
      </w:r>
    </w:p>
    <w:p>
      <w:pPr>
        <w:spacing w:after="120" w:line="276"/>
      </w:pPr>
      <w:r>
        <w:t xml:space="preserve">Áp dụng chuẩn CSC (Cloud Signature Consortium). Luồng ký tương tác (khách xác nhận từng lần ký) cho hợp đồng vay:</w:t>
      </w:r>
    </w:p>
    <w:p>
      <w:pPr>
        <w:pStyle w:val="ListParagraph"/>
        <w:numPr>
          <w:ilvl w:val="0"/>
          <w:numId w:val="3"/>
        </w:numPr>
        <w:spacing w:after="80" w:line="264"/>
      </w:pPr>
      <w:r>
        <w:t xml:space="preserve">contract-service sinh PDF hợp đồng (chưa ký), tính mã băm tài liệu.</w:t>
      </w:r>
    </w:p>
    <w:p>
      <w:pPr>
        <w:pStyle w:val="ListParagraph"/>
        <w:numPr>
          <w:ilvl w:val="0"/>
          <w:numId w:val="3"/>
        </w:numPr>
        <w:spacing w:after="80" w:line="264"/>
      </w:pPr>
      <w:r>
        <w:t xml:space="preserve">Gọi VNPT SmartCA: tạo giao dịch ký, gửi mã băm + thông tin chứng thư của khách.</w:t>
      </w:r>
    </w:p>
    <w:p>
      <w:pPr>
        <w:pStyle w:val="ListParagraph"/>
        <w:numPr>
          <w:ilvl w:val="0"/>
          <w:numId w:val="3"/>
        </w:numPr>
        <w:spacing w:after="80" w:line="264"/>
      </w:pPr>
      <w:r>
        <w:t xml:space="preserve">Khách hàng nhận thông báo trên ứng dụng VNPT SmartCA, xác nhận bằng PIN/sinh trắc học.</w:t>
      </w:r>
    </w:p>
    <w:p>
      <w:pPr>
        <w:pStyle w:val="ListParagraph"/>
        <w:numPr>
          <w:ilvl w:val="0"/>
          <w:numId w:val="3"/>
        </w:numPr>
        <w:spacing w:after="80" w:line="264"/>
      </w:pPr>
      <w:r>
        <w:t xml:space="preserve">VNPT trả về chữ ký; contract-service chèn vào PDF theo chuẩn PAdES.</w:t>
      </w:r>
    </w:p>
    <w:p>
      <w:pPr>
        <w:pStyle w:val="ListParagraph"/>
        <w:numPr>
          <w:ilvl w:val="0"/>
          <w:numId w:val="3"/>
        </w:numPr>
        <w:spacing w:after="80" w:line="264"/>
      </w:pPr>
      <w:r>
        <w:t xml:space="preserve">VNFITE ký số tổ chức (VNPT-CA, HSM) lên cùng tài liệu – đóng vai trò con dấu.</w:t>
      </w:r>
    </w:p>
    <w:p>
      <w:pPr>
        <w:pStyle w:val="ListParagraph"/>
        <w:numPr>
          <w:ilvl w:val="0"/>
          <w:numId w:val="3"/>
        </w:numPr>
        <w:spacing w:after="80" w:line="264"/>
      </w:pPr>
      <w:r>
        <w:t xml:space="preserve">Đăng ký chứng thực VNPT eContract (CeCA) → nhận dấu thời gian + mã tra cứu.</w:t>
      </w:r>
    </w:p>
    <w:p>
      <w:pPr>
        <w:pStyle w:val="ListParagraph"/>
        <w:numPr>
          <w:ilvl w:val="0"/>
          <w:numId w:val="3"/>
        </w:numPr>
        <w:spacing w:after="80" w:line="264"/>
      </w:pPr>
      <w:r>
        <w:t xml:space="preserve">Lưu file ký, phát sự kiện contract.signed → thông báo cho khách hàng.</w:t>
      </w:r>
    </w:p>
    <w:p>
      <w:pPr>
        <w:spacing w:after="120" w:line="276"/>
      </w:pPr>
      <w:r>
        <w:rPr>
          <w:b/>
          <w:bCs/>
        </w:rPr>
        <w:t xml:space="preserve">Lưu ý đăng ký SmartCA: </w:t>
      </w:r>
      <w:r>
        <w:t xml:space="preserve">khách hàng có thể được khởi tạo chứng thư số SmartCA ngay trong luồng eKYC sẵn có, dùng lại dữ liệu định danh để giảm ma sát.</w:t>
      </w:r>
    </w:p>
    <w:p>
      <w:pPr>
        <w:pStyle w:val="Heading2"/>
      </w:pPr>
      <w:r>
        <w:t xml:space="preserve">4.3. Bản đồ ký theo vòng đời khoản vay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rPr>
          <w:tblHeader/>
        </w:trPr>
        <w:tc>
          <w:tcPr>
            <w:tcW w:type="dxa" w:w="30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Trạng thái khoản (hệ thống hiện tại)</w:t>
            </w:r>
          </w:p>
        </w:tc>
        <w:tc>
          <w:tcPr>
            <w:tcW w:type="dxa" w:w="37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Hợp đồng phát sinh</w:t>
            </w:r>
          </w:p>
        </w:tc>
        <w:tc>
          <w:tcPr>
            <w:tcW w:type="dxa" w:w="26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Người ký / loại</w:t>
            </w:r>
          </w:p>
        </w:tc>
      </w:tr>
      <w:tr>
        <w:tc>
          <w:tcPr>
            <w:tcW w:type="dxa" w:w="30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Đăng ký tài khoản / eKYC</w:t>
            </w:r>
          </w:p>
        </w:tc>
        <w:tc>
          <w:tcPr>
            <w:tcW w:type="dxa" w:w="3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A1, A2 (+ khởi tạo SmartCA)</w:t>
            </w:r>
          </w:p>
        </w:tc>
        <w:tc>
          <w:tcPr>
            <w:tcW w:type="dxa" w:w="2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Khách – CKĐT</w:t>
            </w:r>
          </w:p>
        </w:tc>
      </w:tr>
      <w:tr>
        <w:tc>
          <w:tcPr>
            <w:tcW w:type="dxa" w:w="30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Lần đầu gọi vốn / đầu tư</w:t>
            </w:r>
          </w:p>
        </w:tc>
        <w:tc>
          <w:tcPr>
            <w:tcW w:type="dxa" w:w="3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A3 / A4</w:t>
            </w:r>
          </w:p>
        </w:tc>
        <w:tc>
          <w:tcPr>
            <w:tcW w:type="dxa" w:w="2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Khách – CKĐT/CKS</w:t>
            </w:r>
          </w:p>
        </w:tc>
      </w:tr>
      <w:tr>
        <w:tc>
          <w:tcPr>
            <w:tcW w:type="dxa" w:w="30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AWAITING_BORROWER_APPROVAL → confirm</w:t>
            </w:r>
          </w:p>
        </w:tc>
        <w:tc>
          <w:tcPr>
            <w:tcW w:type="dxa" w:w="3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B1 + B2-Khung</w:t>
            </w:r>
          </w:p>
        </w:tc>
        <w:tc>
          <w:tcPr>
            <w:tcW w:type="dxa" w:w="2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Người gọi vốn – CKS từ xa; VNFITE – CKS</w:t>
            </w:r>
          </w:p>
        </w:tc>
      </w:tr>
      <w:tr>
        <w:tc>
          <w:tcPr>
            <w:tcW w:type="dxa" w:w="30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ACTIVE – mỗi nhà đầu tư chốt vốn</w:t>
            </w:r>
          </w:p>
        </w:tc>
        <w:tc>
          <w:tcPr>
            <w:tcW w:type="dxa" w:w="3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B2-Thành phần (× N)</w:t>
            </w:r>
          </w:p>
        </w:tc>
        <w:tc>
          <w:tcPr>
            <w:tcW w:type="dxa" w:w="2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Nhà đầu tư – CKS từ xa; VNFITE – CKS</w:t>
            </w:r>
          </w:p>
        </w:tc>
      </w:tr>
      <w:tr>
        <w:tc>
          <w:tcPr>
            <w:tcW w:type="dxa" w:w="30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FUNDED – đủ vốn</w:t>
            </w:r>
          </w:p>
        </w:tc>
        <w:tc>
          <w:tcPr>
            <w:tcW w:type="dxa" w:w="3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C1 giải ngân</w:t>
            </w:r>
          </w:p>
        </w:tc>
        <w:tc>
          <w:tcPr>
            <w:tcW w:type="dxa" w:w="2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Người gọi vốn + VNFITE</w:t>
            </w:r>
          </w:p>
        </w:tc>
      </w:tr>
      <w:tr>
        <w:tc>
          <w:tcPr>
            <w:tcW w:type="dxa" w:w="30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REPAYING</w:t>
            </w:r>
          </w:p>
        </w:tc>
        <w:tc>
          <w:tcPr>
            <w:tcW w:type="dxa" w:w="3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C2 biên lai từng kỳ</w:t>
            </w:r>
          </w:p>
        </w:tc>
        <w:tc>
          <w:tcPr>
            <w:tcW w:type="dxa" w:w="2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Chỉ CKS VNFITE</w:t>
            </w:r>
          </w:p>
        </w:tc>
      </w:tr>
      <w:tr>
        <w:tc>
          <w:tcPr>
            <w:tcW w:type="dxa" w:w="30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COMPLETED</w:t>
            </w:r>
          </w:p>
        </w:tc>
        <w:tc>
          <w:tcPr>
            <w:tcW w:type="dxa" w:w="3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C3 thanh lý</w:t>
            </w:r>
          </w:p>
        </w:tc>
        <w:tc>
          <w:tcPr>
            <w:tcW w:type="dxa" w:w="2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Các bên + VNFITE</w:t>
            </w:r>
          </w:p>
        </w:tc>
      </w:tr>
    </w:tbl>
    <w:p>
      <w:r>
        <w:br w:type="page"/>
      </w:r>
    </w:p>
    <w:p>
      <w:pPr>
        <w:pStyle w:val="Heading1"/>
      </w:pPr>
      <w:r>
        <w:t xml:space="preserve">5. Chính sách ngưỡng giá trị và loại chữ ký</w:t>
      </w:r>
    </w:p>
    <w:p>
      <w:pPr>
        <w:spacing w:after="120" w:line="276"/>
      </w:pPr>
      <w:r>
        <w:rPr>
          <w:b/>
          <w:bCs/>
        </w:rPr>
        <w:t xml:space="preserve">Lưu ý: </w:t>
      </w:r>
      <w:r>
        <w:t xml:space="preserve">pháp luật KHÔNG quy định một ngưỡng cứng bắt buộc dùng chữ ký số theo giá trị khoản vay. Bảng dưới là chính sách quản trị rủi ro nội bộ do VNFITE đề xuất, cần Ban Lãnh đạo + bộ phận pháp chế phê duyệt. Chi tiết phân tích tại Báo cáo nghiên cứu pháp lý kèm theo.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Loại văn bản / giá trị</w:t>
            </w:r>
          </w:p>
        </w:tc>
        <w:tc>
          <w:tcPr>
            <w:tcW w:type="dxa" w:w="24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Chữ ký tối thiểu</w:t>
            </w:r>
          </w:p>
        </w:tc>
        <w:tc>
          <w:tcPr>
            <w:tcW w:type="dxa" w:w="39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Lý do</w:t>
            </w:r>
          </w:p>
        </w:tc>
      </w:tr>
      <w:tr>
        <w:tc>
          <w:tcPr>
            <w:tcW w:type="dxa" w:w="30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Hợp đồng khung A1–A4 (không phát sinh nghĩa vụ tài chính trực tiếp)</w:t>
            </w:r>
          </w:p>
        </w:tc>
        <w:tc>
          <w:tcPr>
            <w:tcW w:type="dxa" w:w="2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CKĐT chuyên dùng (OTP + eKYC)</w:t>
            </w:r>
          </w:p>
        </w:tc>
        <w:tc>
          <w:tcPr>
            <w:tcW w:type="dxa" w:w="3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Rủi ro thấp, ưu tiên trải nghiệm</w:t>
            </w:r>
          </w:p>
        </w:tc>
      </w:tr>
      <w:tr>
        <w:tc>
          <w:tcPr>
            <w:tcW w:type="dxa" w:w="30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Hợp đồng vay &lt; 20 triệu VND</w:t>
            </w:r>
          </w:p>
        </w:tc>
        <w:tc>
          <w:tcPr>
            <w:tcW w:type="dxa" w:w="2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CKĐT nâng cao (OTP + eKYC + sinh trắc)</w:t>
            </w:r>
          </w:p>
        </w:tc>
        <w:tc>
          <w:tcPr>
            <w:tcW w:type="dxa" w:w="39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Giá trị nhỏ, vẫn cần ràng buộc danh tính</w:t>
            </w:r>
          </w:p>
        </w:tc>
      </w:tr>
      <w:tr>
        <w:tc>
          <w:tcPr>
            <w:tcW w:type="dxa" w:w="30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Hợp đồng vay ≥ 20 triệu VND (B1, B2-K, B2-TP)</w:t>
            </w:r>
          </w:p>
        </w:tc>
        <w:tc>
          <w:tcPr>
            <w:tcW w:type="dxa" w:w="2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Chữ ký số từ xa VNPT SmartCA</w:t>
            </w:r>
          </w:p>
        </w:tc>
        <w:tc>
          <w:tcPr>
            <w:tcW w:type="dxa" w:w="3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Là chứng cứ nợ, cần giá trị pháp lý cao nhất khi thu hồi/tranh chấp</w:t>
            </w:r>
          </w:p>
        </w:tc>
      </w:tr>
      <w:tr>
        <w:tc>
          <w:tcPr>
            <w:tcW w:type="dxa" w:w="30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Mọi văn bản VNFITE phát hành</w:t>
            </w:r>
          </w:p>
        </w:tc>
        <w:tc>
          <w:tcPr>
            <w:tcW w:type="dxa" w:w="2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Chữ ký số VNPT-CA (tổ chức)</w:t>
            </w:r>
          </w:p>
        </w:tc>
        <w:tc>
          <w:tcPr>
            <w:tcW w:type="dxa" w:w="39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Bắt buộc – con dấu điện tử</w:t>
            </w:r>
          </w:p>
        </w:tc>
      </w:tr>
    </w:tbl>
    <w:p>
      <w:pPr>
        <w:spacing w:after="120" w:line="276"/>
      </w:pPr>
      <w:r>
        <w:rPr>
          <w:b/>
          <w:bCs/>
        </w:rPr>
        <w:t xml:space="preserve">Khuyến nghị: </w:t>
      </w:r>
      <w:r>
        <w:t xml:space="preserve">đặt ngưỡng 20 triệu VND là tham số cấu hình (configurable), cho phép điều chỉnh theo khẩu vị rủi ro mà không phải sửa mã nguồn.</w:t>
      </w:r>
    </w:p>
    <w:p>
      <w:pPr>
        <w:pStyle w:val="Heading1"/>
      </w:pPr>
      <w:r>
        <w:t xml:space="preserve">6. Bảo mật, lưu trữ và giá trị chứng cứ</w:t>
      </w:r>
    </w:p>
    <w:p>
      <w:pPr>
        <w:pStyle w:val="ListParagraph"/>
        <w:numPr>
          <w:ilvl w:val="0"/>
          <w:numId w:val="2"/>
        </w:numPr>
        <w:spacing w:after="80" w:line="264"/>
      </w:pPr>
      <w:r>
        <w:t xml:space="preserve">Lưu mã băm SHA-256 của mỗi hợp đồng để chống chối bỏ và phát hiện sửa đổi.</w:t>
      </w:r>
    </w:p>
    <w:p>
      <w:pPr>
        <w:pStyle w:val="ListParagraph"/>
        <w:numPr>
          <w:ilvl w:val="0"/>
          <w:numId w:val="2"/>
        </w:numPr>
        <w:spacing w:after="80" w:line="264"/>
      </w:pPr>
      <w:r>
        <w:t xml:space="preserve">Nhật ký ký đầy đủ: thời điểm, IP, thiết bị, mã giao dịch VNPT – phục vụ đối chiếu khi tranh chấp.</w:t>
      </w:r>
    </w:p>
    <w:p>
      <w:pPr>
        <w:pStyle w:val="ListParagraph"/>
        <w:numPr>
          <w:ilvl w:val="0"/>
          <w:numId w:val="2"/>
        </w:numPr>
        <w:spacing w:after="80" w:line="264"/>
      </w:pPr>
      <w:r>
        <w:t xml:space="preserve">Không lưu ảnh chữ ký "trần"; chữ ký số gắn trong PDF theo chuẩn PAdES-LTV (lưu trữ dài hạn).</w:t>
      </w:r>
    </w:p>
    <w:p>
      <w:pPr>
        <w:pStyle w:val="ListParagraph"/>
        <w:numPr>
          <w:ilvl w:val="0"/>
          <w:numId w:val="2"/>
        </w:numPr>
        <w:spacing w:after="80" w:line="264"/>
      </w:pPr>
      <w:r>
        <w:t xml:space="preserve">Dấu thời gian (timestamp) từ VNPT eContract/CeCA – được pháp luật công nhận.</w:t>
      </w:r>
    </w:p>
    <w:p>
      <w:pPr>
        <w:pStyle w:val="ListParagraph"/>
        <w:numPr>
          <w:ilvl w:val="0"/>
          <w:numId w:val="2"/>
        </w:numPr>
        <w:spacing w:after="80" w:line="264"/>
      </w:pPr>
      <w:r>
        <w:t xml:space="preserve">Sao lưu hợp đồng đã ký; phân quyền truy cập chặt chẽ trên CMS; khách tra cứu hợp đồng của mình trên app.</w:t>
      </w:r>
    </w:p>
    <w:p>
      <w:pPr>
        <w:pStyle w:val="Heading1"/>
      </w:pPr>
      <w:r>
        <w:t xml:space="preserve">7. Lộ trình triển khai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2400"/>
        <w:gridCol w:w="2200"/>
      </w:tblGrid>
      <w:tr>
        <w:trPr>
          <w:tblHeader/>
        </w:trPr>
        <w:tc>
          <w:tcPr>
            <w:tcW w:type="dxa" w:w="15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Giai đoạn</w:t>
            </w:r>
          </w:p>
        </w:tc>
        <w:tc>
          <w:tcPr>
            <w:tcW w:type="dxa" w:w="32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Nội dung</w:t>
            </w:r>
          </w:p>
        </w:tc>
        <w:tc>
          <w:tcPr>
            <w:tcW w:type="dxa" w:w="24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Thời lượng dự kiến</w:t>
            </w:r>
          </w:p>
        </w:tc>
        <w:tc>
          <w:tcPr>
            <w:tcW w:type="dxa" w:w="22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Phụ thuộc</w:t>
            </w:r>
          </w:p>
        </w:tc>
      </w:tr>
      <w:tr>
        <w:tc>
          <w:tcPr>
            <w:tcW w:type="dxa" w:w="15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GĐ 0</w:t>
            </w:r>
          </w:p>
        </w:tc>
        <w:tc>
          <w:tcPr>
            <w:tcW w:type="dxa" w:w="32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Ký hợp đồng VNPT, cấp tài khoản sandbox/API, NDA</w:t>
            </w:r>
          </w:p>
        </w:tc>
        <w:tc>
          <w:tcPr>
            <w:tcW w:type="dxa" w:w="2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1–2 tuần</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VNPT, Pháp chế</w:t>
            </w:r>
          </w:p>
        </w:tc>
      </w:tr>
      <w:tr>
        <w:tc>
          <w:tcPr>
            <w:tcW w:type="dxa" w:w="15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GĐ 1</w:t>
            </w:r>
          </w:p>
        </w:tc>
        <w:tc>
          <w:tcPr>
            <w:tcW w:type="dxa" w:w="32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Dựng contract-service, schema, template engine</w:t>
            </w:r>
          </w:p>
        </w:tc>
        <w:tc>
          <w:tcPr>
            <w:tcW w:type="dxa" w:w="2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2–3 tuần</w:t>
            </w:r>
          </w:p>
        </w:tc>
        <w:tc>
          <w:tcPr>
            <w:tcW w:type="dxa" w:w="2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GĐ 0</w:t>
            </w:r>
          </w:p>
        </w:tc>
      </w:tr>
      <w:tr>
        <w:tc>
          <w:tcPr>
            <w:tcW w:type="dxa" w:w="15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GĐ 2</w:t>
            </w:r>
          </w:p>
        </w:tc>
        <w:tc>
          <w:tcPr>
            <w:tcW w:type="dxa" w:w="32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Tích hợp SmartCA (ký KH) + VNPT-CA (ký VNFITE)</w:t>
            </w:r>
          </w:p>
        </w:tc>
        <w:tc>
          <w:tcPr>
            <w:tcW w:type="dxa" w:w="2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2–3 tuần</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GĐ 1</w:t>
            </w:r>
          </w:p>
        </w:tc>
      </w:tr>
      <w:tr>
        <w:tc>
          <w:tcPr>
            <w:tcW w:type="dxa" w:w="15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GĐ 3</w:t>
            </w:r>
          </w:p>
        </w:tc>
        <w:tc>
          <w:tcPr>
            <w:tcW w:type="dxa" w:w="32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Nối luồng confirm khoản vay + ký B1/B2; eContract/CeCA</w:t>
            </w:r>
          </w:p>
        </w:tc>
        <w:tc>
          <w:tcPr>
            <w:tcW w:type="dxa" w:w="2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2 tuần</w:t>
            </w:r>
          </w:p>
        </w:tc>
        <w:tc>
          <w:tcPr>
            <w:tcW w:type="dxa" w:w="2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GĐ 2</w:t>
            </w:r>
          </w:p>
        </w:tc>
      </w:tr>
      <w:tr>
        <w:tc>
          <w:tcPr>
            <w:tcW w:type="dxa" w:w="15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GĐ 4</w:t>
            </w:r>
          </w:p>
        </w:tc>
        <w:tc>
          <w:tcPr>
            <w:tcW w:type="dxa" w:w="32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Tích hợp app mobile (ký từ xa, tra cứu) + CMS</w:t>
            </w:r>
          </w:p>
        </w:tc>
        <w:tc>
          <w:tcPr>
            <w:tcW w:type="dxa" w:w="2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2 tuần</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GĐ 3</w:t>
            </w:r>
          </w:p>
        </w:tc>
      </w:tr>
      <w:tr>
        <w:tc>
          <w:tcPr>
            <w:tcW w:type="dxa" w:w="15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GĐ 5</w:t>
            </w:r>
          </w:p>
        </w:tc>
        <w:tc>
          <w:tcPr>
            <w:tcW w:type="dxa" w:w="32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Kiểm thử end-to-end, UAT pháp lý, go-live có kiểm soát</w:t>
            </w:r>
          </w:p>
        </w:tc>
        <w:tc>
          <w:tcPr>
            <w:tcW w:type="dxa" w:w="2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2 tuần</w:t>
            </w:r>
          </w:p>
        </w:tc>
        <w:tc>
          <w:tcPr>
            <w:tcW w:type="dxa" w:w="2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GĐ 4</w:t>
            </w:r>
          </w:p>
        </w:tc>
      </w:tr>
    </w:tbl>
    <w:p>
      <w:pPr>
        <w:spacing w:after="120" w:line="276"/>
      </w:pPr>
      <w:r>
        <w:rPr>
          <w:b/>
          <w:bCs/>
        </w:rPr>
        <w:t xml:space="preserve">Tổng thời gian dự kiến: </w:t>
      </w:r>
      <w:r>
        <w:t xml:space="preserve">khoảng 10–13 tuần kể từ khi ký hợp đồng VNPT, có thể chạy song song một số hạng mục.</w:t>
      </w:r>
    </w:p>
    <w:p>
      <w:pPr>
        <w:pStyle w:val="Heading1"/>
      </w:pPr>
      <w:r>
        <w:t xml:space="preserve">8. Chi phí dự kiến</w:t>
      </w:r>
    </w:p>
    <w:p>
      <w:pPr>
        <w:spacing w:after="120" w:line="276"/>
      </w:pPr>
      <w:r>
        <w:rPr>
          <w:i/>
          <w:iCs/>
        </w:rPr>
        <w:t xml:space="preserve">Các đơn giá dưới đây cần điền theo báo giá chính thức của VNPT</w:t>
      </w:r>
      <w:r>
        <w:t xml:space="preserve"> (để trống chờ thương thảo). Đây là khung hạng mục để Ban Lãnh đạo nắm cấu trúc chi phí.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Hạng mục</w:t>
            </w:r>
          </w:p>
        </w:tc>
        <w:tc>
          <w:tcPr>
            <w:tcW w:type="dxa" w:w="288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Mô hình tính phí</w:t>
            </w:r>
          </w:p>
        </w:tc>
        <w:tc>
          <w:tcPr>
            <w:tcW w:type="dxa" w:w="288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Đơn giá (điền theo VNPT)</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Chứng thư số tổ chức VNPT-CA (VNFITE)</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Thuê bao/năm</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Chữ ký số từ xa SmartCA cho khách</w:t>
            </w:r>
          </w:p>
        </w:tc>
        <w:tc>
          <w:tcPr>
            <w:tcW w:type="dxa" w:w="288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Theo lượt ký hoặc gói/chứng thư</w:t>
            </w:r>
          </w:p>
        </w:tc>
        <w:tc>
          <w:tcPr>
            <w:tcW w:type="dxa" w:w="288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Nền tảng VNPT eContract (CeCA)</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Theo hợp đồng/gói</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Khởi tạo chứng thư SmartCA cho KH</w:t>
            </w:r>
          </w:p>
        </w:tc>
        <w:tc>
          <w:tcPr>
            <w:tcW w:type="dxa" w:w="288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Theo lượt / miễn phí gói cơ bản</w:t>
            </w:r>
          </w:p>
        </w:tc>
        <w:tc>
          <w:tcPr>
            <w:tcW w:type="dxa" w:w="288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Chi phí tích hợp &amp; nhân sự nội bộ</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Theo dự án</w:t>
            </w:r>
          </w:p>
        </w:tc>
        <w:tc>
          <w:tcPr>
            <w:tcW w:type="dxa" w:w="28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w:t>
            </w:r>
          </w:p>
        </w:tc>
      </w:tr>
    </w:tbl>
    <w:p>
      <w:pPr>
        <w:pStyle w:val="Heading1"/>
      </w:pPr>
      <w:r>
        <w:t xml:space="preserve">9. Rủi ro và biện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Rủi ro</w:t>
            </w:r>
          </w:p>
        </w:tc>
        <w:tc>
          <w:tcPr>
            <w:tcW w:type="dxa" w:w="59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Biện pháp giảm thiểu</w:t>
            </w:r>
          </w:p>
        </w:tc>
      </w:tr>
      <w:tr>
        <w:tc>
          <w:tcPr>
            <w:tcW w:type="dxa" w:w="3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Khách ngại đăng ký/sử dụng SmartCA</w:t>
            </w:r>
          </w:p>
        </w:tc>
        <w:tc>
          <w:tcPr>
            <w:tcW w:type="dxa" w:w="5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Khởi tạo chứng thư ngay trong eKYC; hướng dẫn trực quan; áp ngưỡng giá trị để khoản nhỏ dùng CKĐT nhẹ hơn</w:t>
            </w:r>
          </w:p>
        </w:tc>
      </w:tr>
      <w:tr>
        <w:tc>
          <w:tcPr>
            <w:tcW w:type="dxa" w:w="3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Phụ thuộc dịch vụ VNPT (gián đoạn API)</w:t>
            </w:r>
          </w:p>
        </w:tc>
        <w:tc>
          <w:tcPr>
            <w:tcW w:type="dxa" w:w="59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Cơ chế retry + hàng đợi; trạng thái hợp đồng cho phép ký lại; SLA cam kết với VNPT</w:t>
            </w:r>
          </w:p>
        </w:tc>
      </w:tr>
      <w:tr>
        <w:tc>
          <w:tcPr>
            <w:tcW w:type="dxa" w:w="3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Thay đổi quy định sandbox P2P</w:t>
            </w:r>
          </w:p>
        </w:tc>
        <w:tc>
          <w:tcPr>
            <w:tcW w:type="dxa" w:w="5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Theo dõi pháp lý định kỳ; template &amp; ngưỡng cấu hình linh hoạt; pháp chế rà soát</w:t>
            </w:r>
          </w:p>
        </w:tc>
      </w:tr>
      <w:tr>
        <w:tc>
          <w:tcPr>
            <w:tcW w:type="dxa" w:w="3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Tranh chấp về hiệu lực chữ ký</w:t>
            </w:r>
          </w:p>
        </w:tc>
        <w:tc>
          <w:tcPr>
            <w:tcW w:type="dxa" w:w="59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Dùng CKS từ xa + CeCA cho khoản giá trị lớn; lưu đầy đủ audit trail + mã băm</w:t>
            </w:r>
          </w:p>
        </w:tc>
      </w:tr>
      <w:tr>
        <w:tc>
          <w:tcPr>
            <w:tcW w:type="dxa" w:w="3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Vượt trần lãi suất dân sự (20%/năm)</w:t>
            </w:r>
          </w:p>
        </w:tc>
        <w:tc>
          <w:tcPr>
            <w:tcW w:type="dxa" w:w="5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Chốt kiểm soát lãi suất ở engine duyệt khoản; cảnh báo khi cấu hình vượt ngưỡng</w:t>
            </w:r>
          </w:p>
        </w:tc>
      </w:tr>
    </w:tbl>
    <w:p>
      <w:pPr>
        <w:pStyle w:val="Heading1"/>
      </w:pPr>
      <w:r>
        <w:t xml:space="preserve">10. Kết luận và kiến nghị</w:t>
      </w:r>
    </w:p>
    <w:p>
      <w:pPr>
        <w:spacing w:after="120" w:line="276"/>
      </w:pPr>
      <w:r>
        <w:t xml:space="preserve">Phương án tích hợp VNPT (SmartCA – VNPT-CA – VNPT eContract) đáp ứng đầy đủ yêu cầu pháp lý theo Luật Giao dịch điện tử 2023, phù hợp vai trò trung gian kết nối của VNFITE theo cơ chế thử nghiệm có kiểm soát, và tích hợp gọn vào kiến trúc hiện có thông qua contract-service.</w:t>
      </w:r>
    </w:p>
    <w:p>
      <w:pPr>
        <w:spacing w:after="240" w:line="276"/>
      </w:pPr>
      <w:r>
        <w:rPr>
          <w:b/>
          <w:bCs/>
        </w:rPr>
        <w:t xml:space="preserve">Kính trình Ban Lãnh đạo phê duyệt: </w:t>
      </w:r>
      <w:r>
        <w:t xml:space="preserve">(1) chủ trương triển khai; (2) lựa chọn đối tác VNPT; (3) mô hình hợp đồng Hybrid "Khung + Thành phần"; (4) chính sách ngưỡng giá trị – loại chữ ký; (5) lộ trình và ngân sách triển khai.</w:t>
      </w:r>
    </w:p>
    <w:p>
      <w:pPr>
        <w:spacing w:after="200" w:before="200"/>
      </w:pPr>
      <w:r>
        <w:rPr>
          <w:b/>
          <w:bCs/>
          <w:color w:val="8B0A0A"/>
          <w:sz w:val="26"/>
          <w:szCs w:val="26"/>
        </w:rPr>
        <w:t xml:space="preserve">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NGƯỜI LẬP</w:t>
            </w:r>
          </w:p>
          <w:p>
            <w:pPr>
              <w:spacing w:after="0"/>
              <w:jc w:val="center"/>
            </w:pPr>
            <w:r>
              <w:rPr>
                <w:i/>
                <w:iCs/>
                <w:color w:val="6B7280"/>
                <w:sz w:val="18"/>
                <w:szCs w:val="18"/>
              </w:rPr>
              <w:t xml:space="preserve">(Khối Công nghệ/Sản phẩm)</w:t>
            </w:r>
          </w:p>
        </w:tc>
        <w:tc>
          <w:tcPr>
            <w:tcW w:type="dxa" w:w="312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PHÁP CHẾ</w:t>
            </w:r>
          </w:p>
          <w:p>
            <w:pPr>
              <w:spacing w:after="0"/>
              <w:jc w:val="center"/>
            </w:pPr>
            <w:r>
              <w:rPr>
                <w:i/>
                <w:iCs/>
                <w:color w:val="6B7280"/>
                <w:sz w:val="18"/>
                <w:szCs w:val="18"/>
              </w:rPr>
              <w:t xml:space="preserve">(Rà soát pháp lý)</w:t>
            </w:r>
          </w:p>
        </w:tc>
        <w:tc>
          <w:tcPr>
            <w:tcW w:type="dxa" w:w="312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BAN LÃNH ĐẠO</w:t>
            </w:r>
          </w:p>
          <w:p>
            <w:pPr>
              <w:spacing w:after="0"/>
              <w:jc w:val="center"/>
            </w:pPr>
            <w:r>
              <w:rPr>
                <w:i/>
                <w:iCs/>
                <w:color w:val="6B7280"/>
                <w:sz w:val="18"/>
                <w:szCs w:val="18"/>
              </w:rPr>
              <w:t xml:space="preserve">(Phê duyệt)</w:t>
            </w:r>
          </w:p>
        </w:tc>
      </w:tr>
      <w:tr>
        <w:tc>
          <w:tcPr>
            <w:tcW w:type="dxa" w:w="312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
            </w:r>
          </w:p>
        </w:tc>
        <w:tc>
          <w:tcPr>
            <w:tcW w:type="dxa" w:w="312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
            </w:r>
          </w:p>
        </w:tc>
        <w:tc>
          <w:tcPr>
            <w:tcW w:type="dxa" w:w="312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2020" w:sz="4" w:space="6"/>
      </w:pBdr>
      <w:tabs>
        <w:tab w:val="right" w:pos="9026"/>
      </w:tabs>
    </w:pPr>
    <w:r>
      <w:rPr>
        <w:color w:val="6B7280"/>
        <w:sz w:val="16"/>
        <w:szCs w:val="16"/>
      </w:rPr>
      <w:t xml:space="preserve">VNFITE – Phương án HĐĐT &amp; Chữ ký số VNPT</w:t>
    </w:r>
    <w:r>
      <w:rPr>
        <w:color w:val="6B7280"/>
        <w:sz w:val="16"/>
        <w:szCs w:val="16"/>
      </w:rPr>
      <w:t xml:space="preserve">	Trang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82020"/>
        <w:sz w:val="18"/>
        <w:szCs w:val="18"/>
      </w:rPr>
      <w:t xml:space="preserve">VNFITE</w:t>
    </w:r>
    <w:r>
      <w:rPr>
        <w:color w:val="6B7280"/>
        <w:sz w:val="16"/>
        <w:szCs w:val="16"/>
      </w:rPr>
      <w:t xml:space="preserve">  •  Phương án HĐĐT &amp; Chữ ký số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lvl w:ilvl="1" w15:tentative="1">
      <w:start w:val="1"/>
      <w:numFmt w:val="bullet"/>
      <w:lvlText w:val="–"/>
      <w:lvlJc w:val="left"/>
      <w:pPr>
        <w:ind w:left="1140" w:hanging="28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B0A0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C82020"/>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2026-06-08T03:11:19.724Z</dcterms:created>
  <dcterms:modified xsi:type="dcterms:W3CDTF">2026-06-08T03:11:19.725Z</dcterms:modified>
</cp:coreProperties>
</file>

<file path=docProps/custom.xml><?xml version="1.0" encoding="utf-8"?>
<Properties xmlns="http://schemas.openxmlformats.org/officeDocument/2006/custom-properties" xmlns:vt="http://schemas.openxmlformats.org/officeDocument/2006/docPropsVTypes"/>
</file>