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b/>
          <w:bCs/>
          <w:color w:val="C82020"/>
          <w:sz w:val="56"/>
          <w:szCs w:val="56"/>
        </w:rPr>
        <w:t xml:space="preserve">VNFITE</w:t>
      </w:r>
    </w:p>
    <w:p>
      <w:pPr>
        <w:spacing w:after="40"/>
        <w:jc w:val="center"/>
      </w:pPr>
      <w:r>
        <w:rPr>
          <w:b/>
          <w:bCs/>
          <w:color w:val="6B7280"/>
          <w:sz w:val="20"/>
          <w:szCs w:val="20"/>
        </w:rPr>
        <w:t xml:space="preserve">NỀN TẢNG CHO VAY NGANG HÀNG</w:t>
      </w:r>
    </w:p>
    <w:p>
      <w:pPr>
        <w:pBdr>
          <w:bottom w:val="single" w:color="C82020" w:sz="12" w:space="8"/>
        </w:pBdr>
        <w:spacing w:after="480"/>
        <w:jc w:val="center"/>
      </w:pPr>
      <w:r>
        <w:t xml:space="preserve"/>
      </w:r>
    </w:p>
    <w:p>
      <w:pPr>
        <w:spacing w:after="200"/>
        <w:jc w:val="center"/>
      </w:pPr>
      <w:r>
        <w:rPr>
          <w:i/>
          <w:iCs/>
          <w:color w:val="6B7280"/>
          <w:sz w:val="20"/>
          <w:szCs w:val="20"/>
        </w:rPr>
        <w:t xml:space="preserve">Phụ lục pháp lý kèm Tờ trình số ……/2026/TTr-VNFITE</w:t>
      </w:r>
    </w:p>
    <w:p>
      <w:pPr>
        <w:spacing w:after="120" w:before="600"/>
        <w:jc w:val="center"/>
      </w:pPr>
      <w:r>
        <w:rPr>
          <w:b/>
          <w:bCs/>
          <w:color w:val="8B0A0A"/>
          <w:sz w:val="40"/>
          <w:szCs w:val="40"/>
        </w:rPr>
        <w:t xml:space="preserve">BÁO CÁO NGHIÊN CỨU PHÁP LÝ</w:t>
      </w:r>
    </w:p>
    <w:p>
      <w:pPr>
        <w:spacing w:after="40"/>
        <w:jc w:val="center"/>
      </w:pPr>
      <w:r>
        <w:rPr>
          <w:color w:val="111827"/>
          <w:sz w:val="26"/>
          <w:szCs w:val="26"/>
        </w:rPr>
        <w:t xml:space="preserve">Hợp đồng điện tử &amp; chữ ký số trong hoạt động</w:t>
      </w:r>
    </w:p>
    <w:p>
      <w:pPr>
        <w:spacing w:after="600"/>
        <w:jc w:val="center"/>
      </w:pPr>
      <w:r>
        <w:rPr>
          <w:color w:val="111827"/>
          <w:sz w:val="26"/>
          <w:szCs w:val="26"/>
        </w:rPr>
        <w:t xml:space="preserve">cho vay ngang hàng (P2P Lending) tại Việt Nam</w:t>
      </w:r>
    </w:p>
    <w:p>
      <w:pPr>
        <w:spacing w:before="40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Mục đích</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Cơ sở pháp lý cho phương án HĐĐT</w:t>
            </w:r>
          </w:p>
        </w:tc>
      </w:tr>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Phạm vi</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Luật GDĐT 2023, Sandbox P2P, BLDS 2015</w:t>
            </w:r>
          </w:p>
        </w:tc>
      </w:tr>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Tính chất</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Tài liệu tham khảo nội bộ</w:t>
            </w:r>
          </w:p>
        </w:tc>
      </w:tr>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Phiên bản</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v1.0 – Dự thảo</w:t>
            </w:r>
          </w:p>
        </w:tc>
      </w:tr>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Ngày lập</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 / …… / 2026</w:t>
            </w:r>
          </w:p>
        </w:tc>
      </w:tr>
    </w:tbl>
    <w:p>
      <w:r>
        <w:br w:type="page"/>
      </w:r>
    </w:p>
    <w:p>
      <w:pPr>
        <w:spacing w:after="160"/>
      </w:pPr>
      <w:r>
        <w:rPr>
          <w:b/>
          <w:bCs/>
          <w:color w:val="8B0A0A"/>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LƯU Ý QUAN TRỌNG</w:t>
            </w:r>
          </w:p>
        </w:tc>
      </w:tr>
      <w:tr>
        <w:tc>
          <w:tcPr>
            <w:tcW w:type="dxa" w:w="93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Báo cáo này tổng hợp và phân tích quy định pháp luật phục vụ mục đích nội bộ, KHÔNG thay thế ý kiến tư vấn pháp lý chính thức. Số hiệu điều/khoản và mốc thời gian hiệu lực cần được bộ phận pháp chế/luật sư rà soát, đối chiếu văn bản gốc trước khi áp dụng. Các nội dung đề xuất chính sách (đặc biệt là ngưỡng giá trị) là khuyến nghị quản trị rủi ro, không phải quy định bắt buộc của pháp luật.</w:t>
            </w:r>
          </w:p>
        </w:tc>
      </w:tr>
    </w:tbl>
    <w:p>
      <w:pPr>
        <w:spacing w:after="80" w:line="276"/>
      </w:pPr>
      <w:r>
        <w:t xml:space="preserve"/>
      </w:r>
    </w:p>
    <w:p>
      <w:pPr>
        <w:pStyle w:val="Heading1"/>
      </w:pPr>
      <w:r>
        <w:t xml:space="preserve">1. Phạm vi và mục đích</w:t>
      </w:r>
    </w:p>
    <w:p>
      <w:pPr>
        <w:spacing w:after="120" w:line="276"/>
      </w:pPr>
      <w:r>
        <w:t xml:space="preserve">Báo cáo phân tích khung pháp lý điều chỉnh ba nhóm vấn đề: (i) giá trị pháp lý của hợp đồng điện tử và chữ ký số; (ii) tư cách pháp lý của nền tảng P2P theo cơ chế thử nghiệm có kiểm soát; (iii) quan hệ hợp đồng vay dân sự giữa người gọi vốn và nhà đầu tư. Từ đó đề xuất chính sách áp dụng loại chữ ký theo giá trị giao dịch.</w:t>
      </w:r>
    </w:p>
    <w:p>
      <w:pPr>
        <w:pStyle w:val="Heading1"/>
      </w:pPr>
      <w:r>
        <w:t xml:space="preserve">2. Luật Giao dịch điện tử 2023</w:t>
      </w:r>
    </w:p>
    <w:p>
      <w:pPr>
        <w:spacing w:after="120" w:line="276"/>
      </w:pPr>
      <w:r>
        <w:rPr>
          <w:b/>
          <w:bCs/>
        </w:rPr>
        <w:t xml:space="preserve">Văn bản: </w:t>
      </w:r>
      <w:r>
        <w:t xml:space="preserve">Luật Giao dịch điện tử số 20/2023/QH15, có hiệu lực từ 01/7/2024, thay thế Luật Giao dịch điện tử 2005. Đây là cơ sở pháp lý cốt lõi cho toàn bộ phương án.</w:t>
      </w:r>
    </w:p>
    <w:p>
      <w:pPr>
        <w:pStyle w:val="Heading2"/>
      </w:pPr>
      <w:r>
        <w:t xml:space="preserve">2.1. Giá trị pháp lý của thông điệp dữ liệu và hợp đồng điện tử</w:t>
      </w:r>
    </w:p>
    <w:p>
      <w:pPr>
        <w:pStyle w:val="ListParagraph"/>
        <w:numPr>
          <w:ilvl w:val="0"/>
          <w:numId w:val="2"/>
        </w:numPr>
        <w:spacing w:after="80" w:line="264"/>
      </w:pPr>
      <w:r>
        <w:t xml:space="preserve">Thông tin trong thông điệp dữ liệu không bị phủ nhận giá trị pháp lý chỉ vì được thể hiện dưới dạng thông điệp dữ liệu.</w:t>
      </w:r>
    </w:p>
    <w:p>
      <w:pPr>
        <w:pStyle w:val="ListParagraph"/>
        <w:numPr>
          <w:ilvl w:val="0"/>
          <w:numId w:val="2"/>
        </w:numPr>
        <w:spacing w:after="80" w:line="264"/>
      </w:pPr>
      <w:r>
        <w:t xml:space="preserve">Hợp đồng điện tử được giao kết, thực hiện từ tương tác giữa các hệ thống thông tin tự động vẫn có giá trị pháp lý.</w:t>
      </w:r>
    </w:p>
    <w:p>
      <w:pPr>
        <w:pStyle w:val="ListParagraph"/>
        <w:numPr>
          <w:ilvl w:val="0"/>
          <w:numId w:val="2"/>
        </w:numPr>
        <w:spacing w:after="80" w:line="264"/>
      </w:pPr>
      <w:r>
        <w:t xml:space="preserve">Giá trị làm chứng cứ của thông điệp dữ liệu được xác định dựa trên độ tin cậy của cách thức khởi tạo, lưu trữ, truyền gửi; cách thức bảo đảm và duy trì tính toàn vẹn; cách thức xác định người khởi tạo.</w:t>
      </w:r>
    </w:p>
    <w:p>
      <w:pPr>
        <w:spacing w:after="120" w:line="276"/>
      </w:pPr>
      <w:r>
        <w:rPr>
          <w:b/>
          <w:bCs/>
        </w:rPr>
        <w:t xml:space="preserve">Hệ quả với VNFITE: </w:t>
      </w:r>
      <w:r>
        <w:t xml:space="preserve">hợp đồng vay ký điện tử có giá trị pháp lý đầy đủ nếu bảo đảm tính toàn vẹn (mã băm), xác định được người ký (eKYC + chứng thư số) và lưu vết tin cậy (audit trail + dấu thời gian).</w:t>
      </w:r>
    </w:p>
    <w:p>
      <w:pPr>
        <w:pStyle w:val="Heading2"/>
      </w:pPr>
      <w:r>
        <w:t xml:space="preserve">2.2. Phân loại chữ ký điện tử</w:t>
      </w:r>
    </w:p>
    <w:p>
      <w:pPr>
        <w:spacing w:after="120" w:line="276"/>
      </w:pPr>
      <w:r>
        <w:t xml:space="preserve">Luật 2023 phân loại chữ ký điện tử theo phạm vi sử dụng, gồm các nhóm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Loại</w:t>
            </w:r>
          </w:p>
        </w:tc>
        <w:tc>
          <w:tcPr>
            <w:tcW w:type="dxa" w:w="61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Đặc điểm &amp; giá trị pháp lý</w:t>
            </w:r>
          </w:p>
        </w:tc>
      </w:tr>
      <w:tr>
        <w:tc>
          <w:tcPr>
            <w:tcW w:type="dxa" w:w="3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Chữ ký điện tử chuyên dùng</w:t>
            </w:r>
          </w:p>
        </w:tc>
        <w:tc>
          <w:tcPr>
            <w:tcW w:type="dxa" w:w="61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Do cơ quan/tổ chức tạo lập, sử dụng riêng cho hoạt động của mình (ví dụ chữ ký OTP do hệ thống VNFITE tạo). Có giá trị nếu đáp ứng điều kiện an toàn và các bên thống nhất sử dụng.</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Chữ ký số chuyên dùng công vụ</w:t>
            </w:r>
          </w:p>
        </w:tc>
        <w:tc>
          <w:tcPr>
            <w:tcW w:type="dxa" w:w="61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Phục vụ hoạt động công vụ – không thuộc phạm vi VNFITE.</w:t>
            </w:r>
          </w:p>
        </w:tc>
      </w:tr>
      <w:tr>
        <w:tc>
          <w:tcPr>
            <w:tcW w:type="dxa" w:w="3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Chữ ký số công cộng</w:t>
            </w:r>
          </w:p>
        </w:tc>
        <w:tc>
          <w:tcPr>
            <w:tcW w:type="dxa" w:w="61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Dựa trên chứng thư số do tổ chức cung cấp dịch vụ tin cậy cấp (VNPT-CA, VNPT SmartCA). Giá trị pháp lý cao nhất – tương đương chữ ký tay (cá nhân) hoặc chữ ký + con dấu (tổ chức).</w:t>
            </w:r>
          </w:p>
        </w:tc>
      </w:tr>
    </w:tbl>
    <w:p>
      <w:pPr>
        <w:pStyle w:val="Heading2"/>
      </w:pPr>
      <w:r>
        <w:t xml:space="preserve">2.3. Điều kiện để chữ ký số có giá trị tương đương chữ ký tay/con dấu</w:t>
      </w:r>
    </w:p>
    <w:p>
      <w:pPr>
        <w:pStyle w:val="ListParagraph"/>
        <w:numPr>
          <w:ilvl w:val="0"/>
          <w:numId w:val="2"/>
        </w:numPr>
        <w:spacing w:after="80" w:line="264"/>
      </w:pPr>
      <w:r>
        <w:t xml:space="preserve">Chữ ký số gắn với người ký và xác thực được người ký; dữ liệu tạo chữ ký chỉ thuộc kiểm soát của người ký khi ký.</w:t>
      </w:r>
    </w:p>
    <w:p>
      <w:pPr>
        <w:pStyle w:val="ListParagraph"/>
        <w:numPr>
          <w:ilvl w:val="0"/>
          <w:numId w:val="2"/>
        </w:numPr>
        <w:spacing w:after="80" w:line="264"/>
      </w:pPr>
      <w:r>
        <w:t xml:space="preserve">Mọi thay đổi tài liệu sau thời điểm ký đều có thể bị phát hiện (tính toàn vẹn).</w:t>
      </w:r>
    </w:p>
    <w:p>
      <w:pPr>
        <w:pStyle w:val="ListParagraph"/>
        <w:numPr>
          <w:ilvl w:val="0"/>
          <w:numId w:val="2"/>
        </w:numPr>
        <w:spacing w:after="80" w:line="264"/>
      </w:pPr>
      <w:r>
        <w:t xml:space="preserve">Chứng thư số còn hiệu lực và do tổ chức cung cấp dịch vụ tin cậy được cấp phép phát hành.</w:t>
      </w:r>
    </w:p>
    <w:p>
      <w:pPr>
        <w:spacing w:after="120" w:line="276"/>
      </w:pPr>
      <w:r>
        <w:rPr>
          <w:b/>
          <w:bCs/>
        </w:rPr>
        <w:t xml:space="preserve">Đối chiếu giải pháp VNPT: </w:t>
      </w:r>
      <w:r>
        <w:t xml:space="preserve">VNPT SmartCA và VNPT-CA là dịch vụ chữ ký số công cộng được cấp phép, đáp ứng các điều kiện trên ⇒ chữ ký của khách hàng (SmartCA) và của VNFITE (VNPT-CA) đạt giá trị pháp lý cao nhất.</w:t>
      </w:r>
    </w:p>
    <w:p>
      <w:pPr>
        <w:pStyle w:val="Heading2"/>
      </w:pPr>
      <w:r>
        <w:t xml:space="preserve">2.4. Chứng thực hợp đồng điện tử (CeCA)</w:t>
      </w:r>
    </w:p>
    <w:p>
      <w:pPr>
        <w:spacing w:after="120" w:line="276"/>
      </w:pPr>
      <w:r>
        <w:t xml:space="preserve">Luật và văn bản hướng dẫn (lĩnh vực thương mại điện tử) công nhận tổ chức cung cấp dịch vụ chứng thực hợp đồng điện tử (CeCA) thuộc Trục phát triển hợp đồng điện tử Việt Nam do Bộ Công Thương quản lý. VNPT là một CeCA. Việc phát hành hợp đồng qua CeCA bổ sung dấu thời gian và lưu vết có giá trị đối chứng khi tranh chấp.</w:t>
      </w:r>
    </w:p>
    <w:p>
      <w:r>
        <w:br w:type="page"/>
      </w:r>
    </w:p>
    <w:p>
      <w:pPr>
        <w:pStyle w:val="Heading1"/>
      </w:pPr>
      <w:r>
        <w:t xml:space="preserve">3. Cơ chế thử nghiệm có kiểm soát (Sandbox) cho P2P Lending</w:t>
      </w:r>
    </w:p>
    <w:p>
      <w:pPr>
        <w:spacing w:after="120" w:line="276"/>
      </w:pPr>
      <w:r>
        <w:rPr>
          <w:b/>
          <w:bCs/>
        </w:rPr>
        <w:t xml:space="preserve">Văn bản: </w:t>
      </w:r>
      <w:r>
        <w:t xml:space="preserve">Nghị định về Cơ chế thử nghiệm có kiểm soát trong lĩnh vực ngân hàng (Fintech sandbox), trong đó cho vay ngang hàng là một giải pháp được thử nghiệm. Bộ phận pháp chế cần xác nhận số hiệu Nghị định và thời điểm hiệu lực áp dụng tại thời điểm triển khai.</w:t>
      </w:r>
    </w:p>
    <w:p>
      <w:pPr>
        <w:pStyle w:val="Heading2"/>
      </w:pPr>
      <w:r>
        <w:t xml:space="preserve">3.1. Nguyên tắc cốt lõi với nền tảng P2P</w:t>
      </w:r>
    </w:p>
    <w:p>
      <w:pPr>
        <w:pStyle w:val="ListParagraph"/>
        <w:numPr>
          <w:ilvl w:val="0"/>
          <w:numId w:val="2"/>
        </w:numPr>
        <w:spacing w:after="80" w:line="264"/>
      </w:pPr>
      <w:r>
        <w:rPr>
          <w:b/>
          <w:bCs/>
        </w:rPr>
        <w:t xml:space="preserve">Nền tảng là trung gian kết nối thông tin</w:t>
      </w:r>
      <w:r>
        <w:t xml:space="preserve"> giữa người vay và người cho vay – KHÔNG phải tổ chức tín dụng, KHÔNG phải bên cho vay.</w:t>
      </w:r>
    </w:p>
    <w:p>
      <w:pPr>
        <w:pStyle w:val="ListParagraph"/>
        <w:numPr>
          <w:ilvl w:val="0"/>
          <w:numId w:val="2"/>
        </w:numPr>
        <w:spacing w:after="80" w:line="264"/>
      </w:pPr>
      <w:r>
        <w:t xml:space="preserve">Không được dùng vốn tự có để cho vay; không được huy động vốn dưới mọi hình thức.</w:t>
      </w:r>
    </w:p>
    <w:p>
      <w:pPr>
        <w:pStyle w:val="ListParagraph"/>
        <w:numPr>
          <w:ilvl w:val="0"/>
          <w:numId w:val="2"/>
        </w:numPr>
        <w:spacing w:after="80" w:line="264"/>
      </w:pPr>
      <w:r>
        <w:t xml:space="preserve">Không được cung cấp biện pháp bảo đảm/cam kết lợi nhuận thay người vay; minh bạch thông tin, phí, rủi ro.</w:t>
      </w:r>
    </w:p>
    <w:p>
      <w:pPr>
        <w:pStyle w:val="ListParagraph"/>
        <w:numPr>
          <w:ilvl w:val="0"/>
          <w:numId w:val="2"/>
        </w:numPr>
        <w:spacing w:after="80" w:line="264"/>
      </w:pPr>
      <w:r>
        <w:t xml:space="preserve">Hoạt động trong thời gian và phạm vi thử nghiệm được cấp phép; chịu giám sát của Ngân hàng Nhà nước.</w:t>
      </w:r>
    </w:p>
    <w:p>
      <w:pPr>
        <w:pStyle w:val="Heading2"/>
      </w:pPr>
      <w:r>
        <w:t xml:space="preserve">3.2. Hệ quả với kiến trúc hợp đồng</w:t>
      </w:r>
    </w:p>
    <w:p>
      <w:pPr>
        <w:spacing w:after="120" w:line="276"/>
      </w:pPr>
      <w:r>
        <w:t xml:space="preserve">Vì VNFITE không phải bên cho vay, hợp đồng vay phải được xác lập trực tiếp giữa người gọi vốn và từng nhà đầu tư. VNFITE chỉ ký với tư cách bên cung cấp dịch vụ kết nối/trung gian (trong hợp đồng dịch vụ A3/A4 và vai trò xác thực trên B1/B2). Đây là lý do bắt buộc của mô hình "Khung + Thành phần" trong phương án kỹ thuật.</w:t>
      </w:r>
    </w:p>
    <w:p>
      <w:pPr>
        <w:pStyle w:val="Heading1"/>
      </w:pPr>
      <w:r>
        <w:t xml:space="preserve">4. Bộ luật Dân sự 2015 – Hợp đồng vay tài sản</w:t>
      </w:r>
    </w:p>
    <w:p>
      <w:pPr>
        <w:spacing w:after="120" w:line="276"/>
      </w:pPr>
      <w:r>
        <w:t xml:space="preserve">Quan hệ cho vay giữa người gọi vốn và nhà đầu tư là hợp đồng vay tài sản, điều chỉnh bởi Bộ luật Dân sự 2015 (phần hợp đồng vay tài sản). Các nội dung trọng yếu cần phản ánh trong template hợp đồng:</w:t>
      </w:r>
    </w:p>
    <w:p>
      <w:pPr>
        <w:pStyle w:val="ListParagraph"/>
        <w:numPr>
          <w:ilvl w:val="0"/>
          <w:numId w:val="2"/>
        </w:numPr>
        <w:spacing w:after="80" w:line="264"/>
      </w:pPr>
      <w:r>
        <w:t xml:space="preserve">Đối tượng, số tiền vay, mục đích sử dụng.</w:t>
      </w:r>
    </w:p>
    <w:p>
      <w:pPr>
        <w:pStyle w:val="ListParagraph"/>
        <w:numPr>
          <w:ilvl w:val="0"/>
          <w:numId w:val="2"/>
        </w:numPr>
        <w:spacing w:after="80" w:line="264"/>
      </w:pPr>
      <w:r>
        <w:t xml:space="preserve">Lãi suất, kỳ hạn, phương thức và lịch trả nợ.</w:t>
      </w:r>
    </w:p>
    <w:p>
      <w:pPr>
        <w:pStyle w:val="ListParagraph"/>
        <w:numPr>
          <w:ilvl w:val="0"/>
          <w:numId w:val="2"/>
        </w:numPr>
        <w:spacing w:after="80" w:line="264"/>
      </w:pPr>
      <w:r>
        <w:t xml:space="preserve">Quyền – nghĩa vụ các bên; xử lý chậm trả, vi phạm, chấm dứt.</w:t>
      </w:r>
    </w:p>
    <w:p>
      <w:pPr>
        <w:pStyle w:val="Heading2"/>
      </w:pPr>
      <w:r>
        <w:t xml:space="preserve">4.1. Trần lãi suất (điểm cần kiểm soát chặt)</w:t>
      </w:r>
    </w:p>
    <w:p>
      <w:pPr>
        <w:spacing w:after="120" w:line="276"/>
      </w:pPr>
      <w:r>
        <w:rPr>
          <w:b/>
          <w:bCs/>
        </w:rPr>
        <w:t xml:space="preserve">Bộ luật Dân sự 2015 quy định lãi suất theo thỏa thuận không được vượt quá 20%/năm của khoản tiền vay</w:t>
      </w:r>
      <w:r>
        <w:t xml:space="preserve"> (trừ trường hợp luật khác có quy định). Vượt trần thì phần vượt không có hiệu lực.</w:t>
      </w:r>
    </w:p>
    <w:p>
      <w:pPr>
        <w:spacing w:after="120" w:line="276"/>
      </w:pPr>
      <w:r>
        <w:rPr>
          <w:b/>
          <w:bCs/>
        </w:rPr>
        <w:t xml:space="preserve">Khuyến nghị kỹ thuật: </w:t>
      </w:r>
      <w:r>
        <w:t xml:space="preserve">engine duyệt khoản và cấu hình biểu lãi suất của VNFITE phải chốt kiểm tra trần 20%/năm; CMS cảnh báo/khóa khi cấu hình vượt ngưỡng. Lưu ý phân biệt lãi suất vay với phí dịch vụ kết nối (bản chất pháp lý khác nhau) để tránh bị quy về "lãi suất" vượt trần.</w:t>
      </w:r>
    </w:p>
    <w:p>
      <w:pPr>
        <w:pStyle w:val="Heading1"/>
      </w:pPr>
      <w:r>
        <w:t xml:space="preserve">5. Nghị định 13/2023/NĐ-CP về bảo vệ dữ liệu cá nhân</w:t>
      </w:r>
    </w:p>
    <w:p>
      <w:pPr>
        <w:pStyle w:val="ListParagraph"/>
        <w:numPr>
          <w:ilvl w:val="0"/>
          <w:numId w:val="2"/>
        </w:numPr>
        <w:spacing w:after="80" w:line="264"/>
      </w:pPr>
      <w:r>
        <w:t xml:space="preserve">Phải có sự đồng ý của chủ thể dữ liệu trước khi xử lý dữ liệu cá nhân (hợp đồng A2 – đồng ý xử lý dữ liệu).</w:t>
      </w:r>
    </w:p>
    <w:p>
      <w:pPr>
        <w:pStyle w:val="ListParagraph"/>
        <w:numPr>
          <w:ilvl w:val="0"/>
          <w:numId w:val="2"/>
        </w:numPr>
        <w:spacing w:after="80" w:line="264"/>
      </w:pPr>
      <w:r>
        <w:t xml:space="preserve">eKYC, ảnh CCCD, dữ liệu sinh trắc học là dữ liệu cá nhân (một số thuộc loại nhạy cảm) – cần biện pháp bảo vệ tương xứng.</w:t>
      </w:r>
    </w:p>
    <w:p>
      <w:pPr>
        <w:pStyle w:val="ListParagraph"/>
        <w:numPr>
          <w:ilvl w:val="0"/>
          <w:numId w:val="2"/>
        </w:numPr>
        <w:spacing w:after="80" w:line="264"/>
      </w:pPr>
      <w:r>
        <w:t xml:space="preserve">Bảo đảm quyền của chủ thể dữ liệu: truy cập, chỉnh sửa, rút lại đồng ý, xóa theo quy định.</w:t>
      </w:r>
    </w:p>
    <w:p>
      <w:pPr>
        <w:pStyle w:val="ListParagraph"/>
        <w:numPr>
          <w:ilvl w:val="0"/>
          <w:numId w:val="2"/>
        </w:numPr>
        <w:spacing w:after="80" w:line="264"/>
      </w:pPr>
      <w:r>
        <w:t xml:space="preserve">Ràng buộc trách nhiệm bảo mật với bên xử lý dữ liệu (bao gồm VNPT) trong hợp đồng dịch vụ.</w:t>
      </w:r>
    </w:p>
    <w:p>
      <w:r>
        <w:br w:type="page"/>
      </w:r>
    </w:p>
    <w:p>
      <w:pPr>
        <w:pStyle w:val="Heading1"/>
      </w:pPr>
      <w:r>
        <w:t xml:space="preserve">6. Phân tích ngưỡng giá trị cần chữ ký số từ xa cho khách</w:t>
      </w:r>
    </w:p>
    <w:p>
      <w:pPr>
        <w:pStyle w:val="Heading2"/>
      </w:pPr>
      <w:r>
        <w:t xml:space="preserve">6.1. Pháp luật có quy định ngưỡng cứng không?</w:t>
      </w:r>
    </w:p>
    <w:p>
      <w:pPr>
        <w:spacing w:after="120" w:line="276"/>
      </w:pPr>
      <w:r>
        <w:rPr>
          <w:b/>
          <w:bCs/>
        </w:rPr>
        <w:t xml:space="preserve">Không. </w:t>
      </w:r>
      <w:r>
        <w:t xml:space="preserve">Pháp luật hiện hành không đặt ra một ngưỡng giá trị giao dịch cụ thể buộc phải dùng chữ ký số (thay vì chữ ký điện tử chuyên dùng). Luật GDĐT 2023 cho phép các bên thỏa thuận sử dụng chữ ký điện tử chuyên dùng nếu đáp ứng điều kiện an toàn. Do đó việc đặt ngưỡng là quyết định quản trị rủi ro của doanh nghiệp.</w:t>
      </w:r>
    </w:p>
    <w:p>
      <w:pPr>
        <w:pStyle w:val="Heading2"/>
      </w:pPr>
      <w:r>
        <w:t xml:space="preserve">6.2. Cơ sở để VNFITE tự đặt ngưỡng</w:t>
      </w:r>
    </w:p>
    <w:p>
      <w:pPr>
        <w:pStyle w:val="ListParagraph"/>
        <w:numPr>
          <w:ilvl w:val="0"/>
          <w:numId w:val="2"/>
        </w:numPr>
        <w:spacing w:after="80" w:line="264"/>
      </w:pPr>
      <w:r>
        <w:rPr>
          <w:b/>
          <w:bCs/>
        </w:rPr>
        <w:t xml:space="preserve">Giá trị chứng cứ: </w:t>
      </w:r>
      <w:r>
        <w:t xml:space="preserve">hợp đồng vay là chứng cứ nợ, có khả năng phải dùng để khởi kiện/thu hồi. Chữ ký số công cộng (SmartCA) có giá trị chứng cứ mạnh và rõ ràng hơn chữ ký OTP chuyên dùng.</w:t>
      </w:r>
    </w:p>
    <w:p>
      <w:pPr>
        <w:pStyle w:val="ListParagraph"/>
        <w:numPr>
          <w:ilvl w:val="0"/>
          <w:numId w:val="2"/>
        </w:numPr>
        <w:spacing w:after="80" w:line="264"/>
      </w:pPr>
      <w:r>
        <w:rPr>
          <w:b/>
          <w:bCs/>
        </w:rPr>
        <w:t xml:space="preserve">Tương quan chi phí – rủi ro: </w:t>
      </w:r>
      <w:r>
        <w:t xml:space="preserve">khoản giá trị lớn ⇒ rủi ro tranh chấp/thiệt hại cao ⇒ ưu tiên mức bảo đảm cao nhất; khoản nhỏ có thể chấp nhận CKĐT nâng cao để tối ưu trải nghiệm và chi phí.</w:t>
      </w:r>
    </w:p>
    <w:p>
      <w:pPr>
        <w:pStyle w:val="ListParagraph"/>
        <w:numPr>
          <w:ilvl w:val="0"/>
          <w:numId w:val="2"/>
        </w:numPr>
        <w:spacing w:after="80" w:line="264"/>
      </w:pPr>
      <w:r>
        <w:rPr>
          <w:b/>
          <w:bCs/>
        </w:rPr>
        <w:t xml:space="preserve">Trải nghiệm khách hàng: </w:t>
      </w:r>
      <w:r>
        <w:t xml:space="preserve">yêu cầu SmartCA cho mọi giao dịch dù nhỏ có thể tăng ma sát, giảm tỷ lệ hoàn tất.</w:t>
      </w:r>
    </w:p>
    <w:p>
      <w:pPr>
        <w:pStyle w:val="Heading2"/>
      </w:pPr>
      <w:r>
        <w:t xml:space="preserve">6.3. Chính sách ngưỡng đề xuất (chờ phê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3760"/>
      </w:tblGrid>
      <w:tr>
        <w:trPr>
          <w:tblHeader/>
        </w:trPr>
        <w:tc>
          <w:tcPr>
            <w:tcW w:type="dxa" w:w="31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Nhóm văn bản / giá trị</w:t>
            </w:r>
          </w:p>
        </w:tc>
        <w:tc>
          <w:tcPr>
            <w:tcW w:type="dxa" w:w="25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Chữ ký tối thiểu (KH)</w:t>
            </w:r>
          </w:p>
        </w:tc>
        <w:tc>
          <w:tcPr>
            <w:tcW w:type="dxa" w:w="37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Cơ sở</w:t>
            </w:r>
          </w:p>
        </w:tc>
      </w:tr>
      <w:tr>
        <w:tc>
          <w:tcPr>
            <w:tcW w:type="dxa" w:w="31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Khung A1–A4</w:t>
            </w:r>
          </w:p>
        </w:tc>
        <w:tc>
          <w:tcPr>
            <w:tcW w:type="dxa" w:w="25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CKĐT chuyên dùng (OTP + eKYC)</w:t>
            </w:r>
          </w:p>
        </w:tc>
        <w:tc>
          <w:tcPr>
            <w:tcW w:type="dxa" w:w="3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Không phát sinh nghĩa vụ tài chính trực tiếp</w:t>
            </w:r>
          </w:p>
        </w:tc>
      </w:tr>
      <w:tr>
        <w:tc>
          <w:tcPr>
            <w:tcW w:type="dxa" w:w="31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Hợp đồng vay &lt; 20 triệu VND</w:t>
            </w:r>
          </w:p>
        </w:tc>
        <w:tc>
          <w:tcPr>
            <w:tcW w:type="dxa" w:w="25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CKĐT nâng cao (OTP + eKYC + sinh trắc)</w:t>
            </w:r>
          </w:p>
        </w:tc>
        <w:tc>
          <w:tcPr>
            <w:tcW w:type="dxa" w:w="37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Giá trị nhỏ; vẫn ràng buộc danh tính</w:t>
            </w:r>
          </w:p>
        </w:tc>
      </w:tr>
      <w:tr>
        <w:tc>
          <w:tcPr>
            <w:tcW w:type="dxa" w:w="31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Hợp đồng vay 20 – &lt; 100 triệu VND</w:t>
            </w:r>
          </w:p>
        </w:tc>
        <w:tc>
          <w:tcPr>
            <w:tcW w:type="dxa" w:w="25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Chữ ký số từ xa SmartCA</w:t>
            </w:r>
          </w:p>
        </w:tc>
        <w:tc>
          <w:tcPr>
            <w:tcW w:type="dxa" w:w="3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Chứng cứ nợ giá trị trung bình</w:t>
            </w:r>
          </w:p>
        </w:tc>
      </w:tr>
      <w:tr>
        <w:tc>
          <w:tcPr>
            <w:tcW w:type="dxa" w:w="31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Hợp đồng vay ≥ 100 triệu VND</w:t>
            </w:r>
          </w:p>
        </w:tc>
        <w:tc>
          <w:tcPr>
            <w:tcW w:type="dxa" w:w="25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Chữ ký số từ xa SmartCA (bắt buộc) + lưu CeCA</w:t>
            </w:r>
          </w:p>
        </w:tc>
        <w:tc>
          <w:tcPr>
            <w:tcW w:type="dxa" w:w="37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Rủi ro cao – mức bảo đảm tối đa</w:t>
            </w:r>
          </w:p>
        </w:tc>
      </w:tr>
    </w:tbl>
    <w:p>
      <w:pPr>
        <w:spacing w:after="120" w:line="276"/>
      </w:pPr>
      <w:r>
        <w:rPr>
          <w:b/>
          <w:bCs/>
        </w:rPr>
        <w:t xml:space="preserve">Tham số hóa: </w:t>
      </w:r>
      <w:r>
        <w:t xml:space="preserve">các mốc 20 triệu / 100 triệu nên là cấu hình điều chỉnh được, do Ban Lãnh đạo + pháp chế quyết định và rà soát định kỳ theo thực tiễn rủi ro và quy định mới.</w:t>
      </w:r>
    </w:p>
    <w:p>
      <w:pPr>
        <w:pStyle w:val="Heading1"/>
      </w:pPr>
      <w:r>
        <w:t xml:space="preserve">7. Kết luận và khuyến nghị tuân thủ</w:t>
      </w:r>
    </w:p>
    <w:p>
      <w:pPr>
        <w:pStyle w:val="ListParagraph"/>
        <w:numPr>
          <w:ilvl w:val="0"/>
          <w:numId w:val="3"/>
        </w:numPr>
        <w:spacing w:after="80" w:line="264"/>
      </w:pPr>
      <w:r>
        <w:t xml:space="preserve">Áp dụng chữ ký số công cộng VNPT (SmartCA cho khách, VNPT-CA cho VNFITE) để đạt giá trị pháp lý cao nhất; phát hành/chứng thực qua VNPT eContract (CeCA).</w:t>
      </w:r>
    </w:p>
    <w:p>
      <w:pPr>
        <w:pStyle w:val="ListParagraph"/>
        <w:numPr>
          <w:ilvl w:val="0"/>
          <w:numId w:val="3"/>
        </w:numPr>
        <w:spacing w:after="80" w:line="264"/>
      </w:pPr>
      <w:r>
        <w:t xml:space="preserve">Giữ đúng tư cách trung gian kết nối theo cơ chế sandbox; hợp đồng vay xác lập trực tiếp người gọi vốn ↔ nhà đầu tư.</w:t>
      </w:r>
    </w:p>
    <w:p>
      <w:pPr>
        <w:pStyle w:val="ListParagraph"/>
        <w:numPr>
          <w:ilvl w:val="0"/>
          <w:numId w:val="3"/>
        </w:numPr>
        <w:spacing w:after="80" w:line="264"/>
      </w:pPr>
      <w:r>
        <w:t xml:space="preserve">Chốt kiểm soát trần lãi suất 20%/năm trong engine; tách bạch phí dịch vụ với lãi suất.</w:t>
      </w:r>
    </w:p>
    <w:p>
      <w:pPr>
        <w:pStyle w:val="ListParagraph"/>
        <w:numPr>
          <w:ilvl w:val="0"/>
          <w:numId w:val="3"/>
        </w:numPr>
        <w:spacing w:after="80" w:line="264"/>
      </w:pPr>
      <w:r>
        <w:t xml:space="preserve">Hoàn thiện hợp đồng đồng ý xử lý dữ liệu cá nhân (A2) và điều khoản bảo mật với VNPT theo NĐ 13/2023.</w:t>
      </w:r>
    </w:p>
    <w:p>
      <w:pPr>
        <w:pStyle w:val="ListParagraph"/>
        <w:numPr>
          <w:ilvl w:val="0"/>
          <w:numId w:val="3"/>
        </w:numPr>
        <w:spacing w:after="80" w:line="264"/>
      </w:pPr>
      <w:r>
        <w:t xml:space="preserve">Ban hành chính sách ngưỡng giá trị – loại chữ ký dưới dạng tham số cấu hình, rà soát định kỳ.</w:t>
      </w:r>
    </w:p>
    <w:p>
      <w:pPr>
        <w:pStyle w:val="ListParagraph"/>
        <w:numPr>
          <w:ilvl w:val="0"/>
          <w:numId w:val="3"/>
        </w:numPr>
        <w:spacing w:after="80" w:line="264"/>
      </w:pPr>
      <w:r>
        <w:t xml:space="preserve">Bộ phận pháp chế/luật sư rà soát toàn bộ số hiệu văn bản, điều khoản và template trước khi go-live.</w:t>
      </w:r>
    </w:p>
    <w:p>
      <w:pPr>
        <w:pStyle w:val="Heading1"/>
      </w:pPr>
      <w:r>
        <w:t xml:space="preserve">8. Phụ lục – Danh mục văn bản pháp luật tham chiếu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Văn bản</w:t>
            </w:r>
          </w:p>
        </w:tc>
        <w:tc>
          <w:tcPr>
            <w:tcW w:type="dxa" w:w="59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Nội dung liên quan</w:t>
            </w:r>
          </w:p>
        </w:tc>
      </w:tr>
      <w:tr>
        <w:tc>
          <w:tcPr>
            <w:tcW w:type="dxa" w:w="3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Luật Giao dịch điện tử số 20/2023/QH15</w:t>
            </w:r>
          </w:p>
        </w:tc>
        <w:tc>
          <w:tcPr>
            <w:tcW w:type="dxa" w:w="59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Giá trị pháp lý HĐĐT, phân loại &amp; điều kiện chữ ký điện tử/chữ ký số, dịch vụ tin cậy</w:t>
            </w:r>
          </w:p>
        </w:tc>
      </w:tr>
      <w:tr>
        <w:tc>
          <w:tcPr>
            <w:tcW w:type="dxa" w:w="34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Nghị định về sandbox Fintech (cho vay ngang hàng)</w:t>
            </w:r>
          </w:p>
        </w:tc>
        <w:tc>
          <w:tcPr>
            <w:tcW w:type="dxa" w:w="59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Tư cách trung gian của nền tảng P2P, phạm vi &amp; điều kiện thử nghiệm</w:t>
            </w:r>
          </w:p>
        </w:tc>
      </w:tr>
      <w:tr>
        <w:tc>
          <w:tcPr>
            <w:tcW w:type="dxa" w:w="3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Bộ luật Dân sự số 91/2015/QH13</w:t>
            </w:r>
          </w:p>
        </w:tc>
        <w:tc>
          <w:tcPr>
            <w:tcW w:type="dxa" w:w="59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Hợp đồng vay tài sản; trần lãi suất 20%/năm</w:t>
            </w:r>
          </w:p>
        </w:tc>
      </w:tr>
      <w:tr>
        <w:tc>
          <w:tcPr>
            <w:tcW w:type="dxa" w:w="34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Nghị định 13/2023/NĐ-CP</w:t>
            </w:r>
          </w:p>
        </w:tc>
        <w:tc>
          <w:tcPr>
            <w:tcW w:type="dxa" w:w="59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Bảo vệ dữ liệu cá nhân; đồng ý xử lý dữ liệu</w:t>
            </w:r>
          </w:p>
        </w:tc>
      </w:tr>
      <w:tr>
        <w:tc>
          <w:tcPr>
            <w:tcW w:type="dxa" w:w="3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Quy định về chứng thực HĐĐT (CeCA – Bộ Công Thương)</w:t>
            </w:r>
          </w:p>
        </w:tc>
        <w:tc>
          <w:tcPr>
            <w:tcW w:type="dxa" w:w="59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Trục phát triển HĐĐT; dấu thời gian; giá trị đối chứng</w:t>
            </w:r>
          </w:p>
        </w:tc>
      </w:tr>
    </w:tbl>
    <w:p>
      <w:pPr>
        <w:spacing w:after="200" w:line="276"/>
      </w:pPr>
      <w:r>
        <w:rPr>
          <w:i/>
          <w:iCs/>
        </w:rPr>
        <w:t xml:space="preserve">Ghi chú: </w:t>
      </w:r>
      <w:r>
        <w:rPr>
          <w:i/>
          <w:iCs/>
        </w:rPr>
        <w:t xml:space="preserve">số hiệu và hiệu lực của Nghị định sandbox cần pháp chế cập nhật chính xác tại thời điểm trình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jc w:val="center"/>
            </w:pPr>
            <w:r>
              <w:rPr>
                <w:b/>
                <w:bCs/>
                <w:sz w:val="21"/>
                <w:szCs w:val="21"/>
              </w:rPr>
              <w:t xml:space="preserve">NGƯỜI LẬP</w:t>
            </w:r>
          </w:p>
          <w:p>
            <w:pPr>
              <w:spacing w:after="0"/>
              <w:jc w:val="center"/>
            </w:pPr>
            <w:r>
              <w:rPr>
                <w:i/>
                <w:iCs/>
                <w:color w:val="6B7280"/>
                <w:sz w:val="18"/>
                <w:szCs w:val="18"/>
              </w:rPr>
              <w:t xml:space="preserve">(Pháp chế/Sản phẩm)</w:t>
            </w:r>
          </w:p>
        </w:tc>
        <w:tc>
          <w:tcPr>
            <w:tcW w:type="dxa" w:w="312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jc w:val="center"/>
            </w:pPr>
            <w:r>
              <w:rPr>
                <w:b/>
                <w:bCs/>
                <w:sz w:val="21"/>
                <w:szCs w:val="21"/>
              </w:rPr>
              <w:t xml:space="preserve">TRƯỞNG PHÁP CHẾ</w:t>
            </w:r>
          </w:p>
          <w:p>
            <w:pPr>
              <w:spacing w:after="0"/>
              <w:jc w:val="center"/>
            </w:pPr>
            <w:r>
              <w:rPr>
                <w:i/>
                <w:iCs/>
                <w:color w:val="6B7280"/>
                <w:sz w:val="18"/>
                <w:szCs w:val="18"/>
              </w:rPr>
              <w:t xml:space="preserve">(Rà soát)</w:t>
            </w:r>
          </w:p>
        </w:tc>
        <w:tc>
          <w:tcPr>
            <w:tcW w:type="dxa" w:w="312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jc w:val="center"/>
            </w:pPr>
            <w:r>
              <w:rPr>
                <w:b/>
                <w:bCs/>
                <w:sz w:val="21"/>
                <w:szCs w:val="21"/>
              </w:rPr>
              <w:t xml:space="preserve">BAN LÃNH ĐẠO</w:t>
            </w:r>
          </w:p>
          <w:p>
            <w:pPr>
              <w:spacing w:after="0"/>
              <w:jc w:val="center"/>
            </w:pPr>
            <w:r>
              <w:rPr>
                <w:i/>
                <w:iCs/>
                <w:color w:val="6B7280"/>
                <w:sz w:val="18"/>
                <w:szCs w:val="18"/>
              </w:rPr>
              <w:t xml:space="preserve">(Ghi nhận)</w:t>
            </w:r>
          </w:p>
        </w:tc>
      </w:tr>
      <w:tr>
        <w:tc>
          <w:tcPr>
            <w:tcW w:type="dxa" w:w="312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before="1100"/>
              <w:jc w:val="center"/>
            </w:pPr>
            <w:r>
              <w:rPr>
                <w:b/>
                <w:bCs/>
                <w:sz w:val="21"/>
                <w:szCs w:val="21"/>
              </w:rPr>
              <w:t xml:space="preserve"/>
            </w:r>
          </w:p>
        </w:tc>
        <w:tc>
          <w:tcPr>
            <w:tcW w:type="dxa" w:w="312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before="1100"/>
              <w:jc w:val="center"/>
            </w:pPr>
            <w:r>
              <w:rPr>
                <w:b/>
                <w:bCs/>
                <w:sz w:val="21"/>
                <w:szCs w:val="21"/>
              </w:rPr>
              <w:t xml:space="preserve"/>
            </w:r>
          </w:p>
        </w:tc>
        <w:tc>
          <w:tcPr>
            <w:tcW w:type="dxa" w:w="312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before="1100"/>
              <w:jc w:val="center"/>
            </w:pPr>
            <w:r>
              <w:rPr>
                <w:b/>
                <w:bCs/>
                <w:sz w:val="21"/>
                <w:szCs w:val="21"/>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2020" w:sz="4" w:space="6"/>
      </w:pBdr>
      <w:tabs>
        <w:tab w:val="right" w:pos="9026"/>
      </w:tabs>
    </w:pPr>
    <w:r>
      <w:rPr>
        <w:color w:val="6B7280"/>
        <w:sz w:val="16"/>
        <w:szCs w:val="16"/>
      </w:rPr>
      <w:t xml:space="preserve">VNFITE – Nghiên cứu pháp lý HĐĐT P2P</w:t>
    </w:r>
    <w:r>
      <w:rPr>
        <w:color w:val="6B7280"/>
        <w:sz w:val="16"/>
        <w:szCs w:val="16"/>
      </w:rPr>
      <w:t xml:space="preserve">	Trang </w:t>
    </w:r>
    <w:r>
      <w:rPr>
        <w:color w:val="6B7280"/>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82020"/>
        <w:sz w:val="18"/>
        <w:szCs w:val="18"/>
      </w:rPr>
      <w:t xml:space="preserve">VNFITE</w:t>
    </w:r>
    <w:r>
      <w:rPr>
        <w:color w:val="6B7280"/>
        <w:sz w:val="16"/>
        <w:szCs w:val="16"/>
      </w:rPr>
      <w:t xml:space="preserve">  •  Nghiên cứu pháp lý HĐĐT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lvl w:ilvl="1" w15:tentative="1">
      <w:start w:val="1"/>
      <w:numFmt w:val="bullet"/>
      <w:lvlText w:val="–"/>
      <w:lvlJc w:val="left"/>
      <w:pPr>
        <w:ind w:left="1140" w:hanging="28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8B0A0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C82020"/>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2026-06-08T03:11:19.844Z</dcterms:created>
  <dcterms:modified xsi:type="dcterms:W3CDTF">2026-06-08T03:11:19.845Z</dcterms:modified>
</cp:coreProperties>
</file>

<file path=docProps/custom.xml><?xml version="1.0" encoding="utf-8"?>
<Properties xmlns="http://schemas.openxmlformats.org/officeDocument/2006/custom-properties" xmlns:vt="http://schemas.openxmlformats.org/officeDocument/2006/docPropsVTypes"/>
</file>