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Times New Roman" w:cs="Times New Roman" w:eastAsia="Times New Roman" w:hAnsi="Times New Roman"/>
          <w:b/>
          <w:bCs/>
          <w:sz w:val="32"/>
          <w:szCs w:val="32"/>
        </w:rPr>
        <w:t xml:space="preserve">Response to the review report</w:t>
      </w:r>
    </w:p>
    <w:p>
      <w:pPr>
        <w:spacing w:after="200" w:line="276"/>
        <w:jc w:val="both"/>
      </w:pPr>
      <w:r>
        <w:rPr>
          <w:rFonts w:ascii="Times New Roman" w:cs="Times New Roman" w:eastAsia="Times New Roman" w:hAnsi="Times New Roman"/>
          <w:i/>
          <w:iCs/>
          <w:color w:val="000000"/>
          <w:sz w:val="22"/>
          <w:szCs w:val="22"/>
        </w:rPr>
        <w:t xml:space="preserve">How the Clinical Reference and the Method Pool Determine Synthetic Benchmark Validity in Medical Image Segmentation</w:t>
      </w:r>
    </w:p>
    <w:p>
      <w:pPr>
        <w:pBdr>
          <w:bottom w:val="single" w:color="8C8C8C" w:sz="6" w:space="8"/>
        </w:pBdr>
        <w:spacing w:after="200"/>
      </w:pPr>
      <w:r>
        <w:rPr>
          <w:rFonts w:ascii="Times New Roman" w:cs="Times New Roman" w:eastAsia="Times New Roman" w:hAnsi="Times New Roman"/>
          <w:sz w:val="2"/>
          <w:szCs w:val="2"/>
        </w:rPr>
        <w:t xml:space="preserve"/>
      </w:r>
    </w:p>
    <w:p>
      <w:pPr>
        <w:spacing w:after="140" w:line="276"/>
        <w:jc w:val="both"/>
      </w:pPr>
      <w:r>
        <w:rPr>
          <w:rFonts w:ascii="Times New Roman" w:cs="Times New Roman" w:eastAsia="Times New Roman" w:hAnsi="Times New Roman"/>
          <w:color w:val="000000"/>
          <w:sz w:val="22"/>
          <w:szCs w:val="22"/>
        </w:rPr>
        <w:t xml:space="preserve">Thank you for the careful reading. Every comment has been addressed in the revised manuscript. Section, table and figure numbers below refer to the revised version.</w:t>
      </w:r>
    </w:p>
    <w:p>
      <w:pPr>
        <w:pStyle w:val="Heading2"/>
        <w:keepNext/>
        <w:spacing w:after="120" w:before="260"/>
      </w:pPr>
      <w:r>
        <w:rPr>
          <w:rFonts w:ascii="Times New Roman" w:cs="Times New Roman" w:eastAsia="Times New Roman" w:hAnsi="Times New Roman"/>
          <w:b/>
          <w:bCs/>
          <w:color w:val="000000"/>
          <w:sz w:val="23"/>
          <w:szCs w:val="23"/>
        </w:rPr>
        <w:t xml:space="preserve">Point-by-point response</w:t>
      </w:r>
    </w:p>
    <w:tbl>
      <w:tblPr>
        <w:tblW w:type="dxa" w:w="9360"/>
        <w:tblBorders>
          <w:top w:val="single" w:color="8C8C8C" w:sz="8"/>
          <w:left w:val="none"/>
          <w:bottom w:val="single" w:color="8C8C8C" w:sz="8"/>
          <w:right w:val="none"/>
          <w:insideH w:val="single" w:color="CFCFCF" w:sz="2"/>
          <w:insideV w:val="none"/>
        </w:tblBorders>
      </w:tblPr>
      <w:tblGrid>
        <w:gridCol w:w="400"/>
        <w:gridCol w:w="2200"/>
        <w:gridCol w:w="5260"/>
        <w:gridCol w:w="1500"/>
      </w:tblGrid>
      <w:tr>
        <w:trPr>
          <w:tblHeader/>
        </w:trPr>
        <w:tc>
          <w:tcPr>
            <w:tcW w:type="dxa" w:w="400"/>
            <w:shd w:fill="E6E6E6" w:color="auto" w:val="clear"/>
            <w:tcMar>
              <w:top w:type="dxa" w:w="60"/>
              <w:left w:type="dxa" w:w="90"/>
              <w:bottom w:type="dxa" w:w="60"/>
              <w:right w:type="dxa" w:w="90"/>
            </w:tcMar>
          </w:tcPr>
          <w:p>
            <w:pPr>
              <w:keepNext w:val="false"/>
              <w:spacing w:after="0" w:line="240"/>
              <w:jc w:val="left"/>
            </w:pPr>
            <w:r>
              <w:rPr>
                <w:rFonts w:ascii="Times New Roman" w:cs="Times New Roman" w:eastAsia="Times New Roman" w:hAnsi="Times New Roman"/>
                <w:b/>
                <w:bCs/>
                <w:color w:val="000000"/>
                <w:sz w:val="18"/>
                <w:szCs w:val="18"/>
              </w:rPr>
              <w:t xml:space="preserve">#</w:t>
            </w:r>
          </w:p>
        </w:tc>
        <w:tc>
          <w:tcPr>
            <w:tcW w:type="dxa" w:w="2200"/>
            <w:shd w:fill="E6E6E6" w:color="auto" w:val="clear"/>
            <w:tcMar>
              <w:top w:type="dxa" w:w="60"/>
              <w:left w:type="dxa" w:w="90"/>
              <w:bottom w:type="dxa" w:w="60"/>
              <w:right w:type="dxa" w:w="90"/>
            </w:tcMar>
          </w:tcPr>
          <w:p>
            <w:pPr>
              <w:keepNext w:val="false"/>
              <w:spacing w:after="0" w:line="240"/>
              <w:jc w:val="left"/>
            </w:pPr>
            <w:r>
              <w:rPr>
                <w:rFonts w:ascii="Times New Roman" w:cs="Times New Roman" w:eastAsia="Times New Roman" w:hAnsi="Times New Roman"/>
                <w:b/>
                <w:bCs/>
                <w:color w:val="000000"/>
                <w:sz w:val="18"/>
                <w:szCs w:val="18"/>
              </w:rPr>
              <w:t xml:space="preserve">Comment</w:t>
            </w:r>
          </w:p>
        </w:tc>
        <w:tc>
          <w:tcPr>
            <w:tcW w:type="dxa" w:w="5260"/>
            <w:shd w:fill="E6E6E6" w:color="auto" w:val="clear"/>
            <w:tcMar>
              <w:top w:type="dxa" w:w="60"/>
              <w:left w:type="dxa" w:w="90"/>
              <w:bottom w:type="dxa" w:w="60"/>
              <w:right w:type="dxa" w:w="90"/>
            </w:tcMar>
          </w:tcPr>
          <w:p>
            <w:pPr>
              <w:keepNext w:val="false"/>
              <w:spacing w:after="0" w:line="240"/>
              <w:jc w:val="left"/>
            </w:pPr>
            <w:r>
              <w:rPr>
                <w:rFonts w:ascii="Times New Roman" w:cs="Times New Roman" w:eastAsia="Times New Roman" w:hAnsi="Times New Roman"/>
                <w:b/>
                <w:bCs/>
                <w:color w:val="000000"/>
                <w:sz w:val="18"/>
                <w:szCs w:val="18"/>
              </w:rPr>
              <w:t xml:space="preserve">Response</w:t>
            </w:r>
          </w:p>
        </w:tc>
        <w:tc>
          <w:tcPr>
            <w:tcW w:type="dxa" w:w="1500"/>
            <w:shd w:fill="E6E6E6" w:color="auto" w:val="clear"/>
            <w:tcMar>
              <w:top w:type="dxa" w:w="60"/>
              <w:left w:type="dxa" w:w="90"/>
              <w:bottom w:type="dxa" w:w="60"/>
              <w:right w:type="dxa" w:w="90"/>
            </w:tcMar>
          </w:tcPr>
          <w:p>
            <w:pPr>
              <w:keepNext w:val="false"/>
              <w:spacing w:after="0" w:line="240"/>
              <w:jc w:val="left"/>
            </w:pPr>
            <w:r>
              <w:rPr>
                <w:rFonts w:ascii="Times New Roman" w:cs="Times New Roman" w:eastAsia="Times New Roman" w:hAnsi="Times New Roman"/>
                <w:b/>
                <w:bCs/>
                <w:color w:val="000000"/>
                <w:sz w:val="18"/>
                <w:szCs w:val="18"/>
              </w:rPr>
              <w:t xml:space="preserve">Where</w:t>
            </w:r>
          </w:p>
        </w:tc>
      </w:tr>
      <w:tr>
        <w:trPr>
          <w:cantSplit/>
        </w:trPr>
        <w:tc>
          <w:tcPr>
            <w:tcW w:type="dxa" w:w="400"/>
            <w:tcMar>
              <w:top w:type="dxa" w:w="60"/>
              <w:left w:type="dxa" w:w="90"/>
              <w:bottom w:type="dxa" w:w="60"/>
              <w:right w:type="dxa" w:w="90"/>
            </w:tcMar>
          </w:tcPr>
          <w:p>
            <w:pPr>
              <w:keepNext w:val="false"/>
              <w:spacing w:after="0" w:line="240"/>
              <w:jc w:val="left"/>
            </w:pPr>
            <w:r>
              <w:rPr>
                <w:rFonts w:ascii="Times New Roman" w:cs="Times New Roman" w:eastAsia="Times New Roman" w:hAnsi="Times New Roman"/>
                <w:b w:val="false"/>
                <w:bCs w:val="false"/>
                <w:color w:val="000000"/>
                <w:sz w:val="18"/>
                <w:szCs w:val="18"/>
              </w:rPr>
              <w:t xml:space="preserve">1</w:t>
            </w:r>
          </w:p>
        </w:tc>
        <w:tc>
          <w:tcPr>
            <w:tcW w:type="dxa" w:w="2200"/>
            <w:tcMar>
              <w:top w:type="dxa" w:w="60"/>
              <w:left w:type="dxa" w:w="90"/>
              <w:bottom w:type="dxa" w:w="60"/>
              <w:right w:type="dxa" w:w="90"/>
            </w:tcMar>
          </w:tcPr>
          <w:p>
            <w:pPr>
              <w:keepNext w:val="false"/>
              <w:spacing w:after="0" w:line="240"/>
              <w:jc w:val="left"/>
            </w:pPr>
            <w:r>
              <w:rPr>
                <w:rFonts w:ascii="Times New Roman" w:cs="Times New Roman" w:eastAsia="Times New Roman" w:hAnsi="Times New Roman"/>
                <w:b w:val="false"/>
                <w:bCs w:val="false"/>
                <w:color w:val="000000"/>
                <w:sz w:val="18"/>
                <w:szCs w:val="18"/>
              </w:rPr>
              <w:t xml:space="preserve">Sec. 2.1: threshold protocol for the pixel classifiers.</w:t>
            </w:r>
          </w:p>
        </w:tc>
        <w:tc>
          <w:tcPr>
            <w:tcW w:type="dxa" w:w="5260"/>
            <w:tcMar>
              <w:top w:type="dxa" w:w="60"/>
              <w:left w:type="dxa" w:w="90"/>
              <w:bottom w:type="dxa" w:w="60"/>
              <w:right w:type="dxa" w:w="90"/>
            </w:tcMar>
          </w:tcPr>
          <w:p>
            <w:pPr>
              <w:keepNext w:val="false"/>
              <w:spacing w:after="0" w:line="240"/>
              <w:jc w:val="left"/>
            </w:pPr>
            <w:r>
              <w:rPr>
                <w:rFonts w:ascii="Times New Roman" w:cs="Times New Roman" w:eastAsia="Times New Roman" w:hAnsi="Times New Roman"/>
                <w:b w:val="false"/>
                <w:bCs w:val="false"/>
                <w:color w:val="000000"/>
                <w:sz w:val="18"/>
                <w:szCs w:val="18"/>
              </w:rPr>
              <w:t xml:space="preserve">Stated explicitly for every group. The three pixel classifiers share one threshold (0.90), swept on FUSeg training images 250 to 399, which are disjoint from the 250 images they were fitted on. The small U-Net uses a fixed 0.5 with no sweep. The ten modern architectures each have their own threshold (0.10 to 0.45), swept on FUSeg training images 400 to 549. No sweep touches an evaluation image.</w:t>
            </w:r>
          </w:p>
        </w:tc>
        <w:tc>
          <w:tcPr>
            <w:tcW w:type="dxa" w:w="1500"/>
            <w:tcMar>
              <w:top w:type="dxa" w:w="60"/>
              <w:left w:type="dxa" w:w="90"/>
              <w:bottom w:type="dxa" w:w="60"/>
              <w:right w:type="dxa" w:w="90"/>
            </w:tcMar>
          </w:tcPr>
          <w:p>
            <w:pPr>
              <w:keepNext w:val="false"/>
              <w:spacing w:after="0" w:line="240"/>
              <w:jc w:val="left"/>
            </w:pPr>
            <w:r>
              <w:rPr>
                <w:rFonts w:ascii="Times New Roman" w:cs="Times New Roman" w:eastAsia="Times New Roman" w:hAnsi="Times New Roman"/>
                <w:b w:val="false"/>
                <w:bCs w:val="false"/>
                <w:color w:val="000000"/>
                <w:sz w:val="18"/>
                <w:szCs w:val="18"/>
              </w:rPr>
              <w:t xml:space="preserve">Sec. 3.2</w:t>
            </w:r>
          </w:p>
        </w:tc>
      </w:tr>
      <w:tr>
        <w:trPr>
          <w:cantSplit/>
        </w:trPr>
        <w:tc>
          <w:tcPr>
            <w:tcW w:type="dxa" w:w="400"/>
            <w:tcMar>
              <w:top w:type="dxa" w:w="60"/>
              <w:left w:type="dxa" w:w="90"/>
              <w:bottom w:type="dxa" w:w="60"/>
              <w:right w:type="dxa" w:w="90"/>
            </w:tcMar>
          </w:tcPr>
          <w:p>
            <w:pPr>
              <w:keepNext w:val="false"/>
              <w:spacing w:after="0" w:line="240"/>
              <w:jc w:val="left"/>
            </w:pPr>
            <w:r>
              <w:rPr>
                <w:rFonts w:ascii="Times New Roman" w:cs="Times New Roman" w:eastAsia="Times New Roman" w:hAnsi="Times New Roman"/>
                <w:b w:val="false"/>
                <w:bCs w:val="false"/>
                <w:color w:val="000000"/>
                <w:sz w:val="18"/>
                <w:szCs w:val="18"/>
              </w:rPr>
              <w:t xml:space="preserve">2</w:t>
            </w:r>
          </w:p>
        </w:tc>
        <w:tc>
          <w:tcPr>
            <w:tcW w:type="dxa" w:w="2200"/>
            <w:tcMar>
              <w:top w:type="dxa" w:w="60"/>
              <w:left w:type="dxa" w:w="90"/>
              <w:bottom w:type="dxa" w:w="60"/>
              <w:right w:type="dxa" w:w="90"/>
            </w:tcMar>
          </w:tcPr>
          <w:p>
            <w:pPr>
              <w:keepNext w:val="false"/>
              <w:spacing w:after="0" w:line="240"/>
              <w:jc w:val="left"/>
            </w:pPr>
            <w:r>
              <w:rPr>
                <w:rFonts w:ascii="Times New Roman" w:cs="Times New Roman" w:eastAsia="Times New Roman" w:hAnsi="Times New Roman"/>
                <w:b w:val="false"/>
                <w:bCs w:val="false"/>
                <w:color w:val="000000"/>
                <w:sz w:val="18"/>
                <w:szCs w:val="18"/>
              </w:rPr>
              <w:t xml:space="preserve">Sec. 2.2: do Kvasir-SEG and Kvasir-sessile share images?</w:t>
            </w:r>
          </w:p>
        </w:tc>
        <w:tc>
          <w:tcPr>
            <w:tcW w:type="dxa" w:w="5260"/>
            <w:tcMar>
              <w:top w:type="dxa" w:w="60"/>
              <w:left w:type="dxa" w:w="90"/>
              <w:bottom w:type="dxa" w:w="60"/>
              <w:right w:type="dxa" w:w="90"/>
            </w:tcMar>
          </w:tcPr>
          <w:p>
            <w:pPr>
              <w:keepNext w:val="false"/>
              <w:spacing w:after="0" w:line="240"/>
              <w:jc w:val="left"/>
            </w:pPr>
            <w:r>
              <w:rPr>
                <w:rFonts w:ascii="Times New Roman" w:cs="Times New Roman" w:eastAsia="Times New Roman" w:hAnsi="Times New Roman"/>
                <w:b w:val="false"/>
                <w:bCs w:val="false"/>
                <w:color w:val="000000"/>
                <w:sz w:val="18"/>
                <w:szCs w:val="18"/>
              </w:rPr>
              <w:t xml:space="preserve">They did: the sessile set is a subset of Kvasir-SEG, and the two 120-image samples shared 31 images. The Kvasir reference is now drawn only from images outside the sessile subset, so the two share none. Agreement between them changes from 0.952 to 0.950, so no conclusion moves.</w:t>
            </w:r>
          </w:p>
        </w:tc>
        <w:tc>
          <w:tcPr>
            <w:tcW w:type="dxa" w:w="1500"/>
            <w:tcMar>
              <w:top w:type="dxa" w:w="60"/>
              <w:left w:type="dxa" w:w="90"/>
              <w:bottom w:type="dxa" w:w="60"/>
              <w:right w:type="dxa" w:w="90"/>
            </w:tcMar>
          </w:tcPr>
          <w:p>
            <w:pPr>
              <w:keepNext w:val="false"/>
              <w:spacing w:after="0" w:line="240"/>
              <w:jc w:val="left"/>
            </w:pPr>
            <w:r>
              <w:rPr>
                <w:rFonts w:ascii="Times New Roman" w:cs="Times New Roman" w:eastAsia="Times New Roman" w:hAnsi="Times New Roman"/>
                <w:b w:val="false"/>
                <w:bCs w:val="false"/>
                <w:color w:val="000000"/>
                <w:sz w:val="18"/>
                <w:szCs w:val="18"/>
              </w:rPr>
              <w:t xml:space="preserve">Sec. 3.3, Sec. 4.6</w:t>
            </w:r>
          </w:p>
        </w:tc>
      </w:tr>
      <w:tr>
        <w:trPr>
          <w:cantSplit/>
        </w:trPr>
        <w:tc>
          <w:tcPr>
            <w:tcW w:type="dxa" w:w="400"/>
            <w:tcMar>
              <w:top w:type="dxa" w:w="60"/>
              <w:left w:type="dxa" w:w="90"/>
              <w:bottom w:type="dxa" w:w="60"/>
              <w:right w:type="dxa" w:w="90"/>
            </w:tcMar>
          </w:tcPr>
          <w:p>
            <w:pPr>
              <w:keepNext w:val="false"/>
              <w:spacing w:after="0" w:line="240"/>
              <w:jc w:val="left"/>
            </w:pPr>
            <w:r>
              <w:rPr>
                <w:rFonts w:ascii="Times New Roman" w:cs="Times New Roman" w:eastAsia="Times New Roman" w:hAnsi="Times New Roman"/>
                <w:b w:val="false"/>
                <w:bCs w:val="false"/>
                <w:color w:val="000000"/>
                <w:sz w:val="18"/>
                <w:szCs w:val="18"/>
              </w:rPr>
              <w:t xml:space="preserve">3</w:t>
            </w:r>
          </w:p>
        </w:tc>
        <w:tc>
          <w:tcPr>
            <w:tcW w:type="dxa" w:w="2200"/>
            <w:tcMar>
              <w:top w:type="dxa" w:w="60"/>
              <w:left w:type="dxa" w:w="90"/>
              <w:bottom w:type="dxa" w:w="60"/>
              <w:right w:type="dxa" w:w="90"/>
            </w:tcMar>
          </w:tcPr>
          <w:p>
            <w:pPr>
              <w:keepNext w:val="false"/>
              <w:spacing w:after="0" w:line="240"/>
              <w:jc w:val="left"/>
            </w:pPr>
            <w:r>
              <w:rPr>
                <w:rFonts w:ascii="Times New Roman" w:cs="Times New Roman" w:eastAsia="Times New Roman" w:hAnsi="Times New Roman"/>
                <w:b w:val="false"/>
                <w:bCs w:val="false"/>
                <w:color w:val="000000"/>
                <w:sz w:val="18"/>
                <w:szCs w:val="18"/>
              </w:rPr>
              <w:t xml:space="preserve">Sec. 2.3: empty ground-truth masks may inflate correlations.</w:t>
            </w:r>
          </w:p>
        </w:tc>
        <w:tc>
          <w:tcPr>
            <w:tcW w:type="dxa" w:w="5260"/>
            <w:tcMar>
              <w:top w:type="dxa" w:w="60"/>
              <w:left w:type="dxa" w:w="90"/>
              <w:bottom w:type="dxa" w:w="60"/>
              <w:right w:type="dxa" w:w="90"/>
            </w:tcMar>
          </w:tcPr>
          <w:p>
            <w:pPr>
              <w:keepNext w:val="false"/>
              <w:spacing w:after="0" w:line="240"/>
              <w:jc w:val="left"/>
            </w:pPr>
            <w:r>
              <w:rPr>
                <w:rFonts w:ascii="Times New Roman" w:cs="Times New Roman" w:eastAsia="Times New Roman" w:hAnsi="Times New Roman"/>
                <w:b w:val="false"/>
                <w:bCs w:val="false"/>
                <w:color w:val="000000"/>
                <w:sz w:val="18"/>
                <w:szCs w:val="18"/>
              </w:rPr>
              <w:t xml:space="preserve">Empty-mask counts are now a column of Table 2 (FUSeg 4, AZH 10, AZH train 8, all others 0). There are no exact ties in any reference. Every agreement was recomputed with those images excluded. One pair moves materially (FUSeg against AZH, 0.660 to 0.368 under Dice) and this is reported. Every modality test stays significant (p at most 0.0062).</w:t>
            </w:r>
          </w:p>
        </w:tc>
        <w:tc>
          <w:tcPr>
            <w:tcW w:type="dxa" w:w="1500"/>
            <w:tcMar>
              <w:top w:type="dxa" w:w="60"/>
              <w:left w:type="dxa" w:w="90"/>
              <w:bottom w:type="dxa" w:w="60"/>
              <w:right w:type="dxa" w:w="90"/>
            </w:tcMar>
          </w:tcPr>
          <w:p>
            <w:pPr>
              <w:keepNext w:val="false"/>
              <w:spacing w:after="0" w:line="240"/>
              <w:jc w:val="left"/>
            </w:pPr>
            <w:r>
              <w:rPr>
                <w:rFonts w:ascii="Times New Roman" w:cs="Times New Roman" w:eastAsia="Times New Roman" w:hAnsi="Times New Roman"/>
                <w:b w:val="false"/>
                <w:bCs w:val="false"/>
                <w:color w:val="000000"/>
                <w:sz w:val="18"/>
                <w:szCs w:val="18"/>
              </w:rPr>
              <w:t xml:space="preserve">Table 2, Sec. 3.5, Sec. 4.6, Sec. 5.5</w:t>
            </w:r>
          </w:p>
        </w:tc>
      </w:tr>
      <w:tr>
        <w:trPr>
          <w:cantSplit/>
        </w:trPr>
        <w:tc>
          <w:tcPr>
            <w:tcW w:type="dxa" w:w="400"/>
            <w:tcMar>
              <w:top w:type="dxa" w:w="60"/>
              <w:left w:type="dxa" w:w="90"/>
              <w:bottom w:type="dxa" w:w="60"/>
              <w:right w:type="dxa" w:w="90"/>
            </w:tcMar>
          </w:tcPr>
          <w:p>
            <w:pPr>
              <w:keepNext w:val="false"/>
              <w:spacing w:after="0" w:line="240"/>
              <w:jc w:val="left"/>
            </w:pPr>
            <w:r>
              <w:rPr>
                <w:rFonts w:ascii="Times New Roman" w:cs="Times New Roman" w:eastAsia="Times New Roman" w:hAnsi="Times New Roman"/>
                <w:b w:val="false"/>
                <w:bCs w:val="false"/>
                <w:color w:val="000000"/>
                <w:sz w:val="18"/>
                <w:szCs w:val="18"/>
              </w:rPr>
              <w:t xml:space="preserve">4</w:t>
            </w:r>
          </w:p>
        </w:tc>
        <w:tc>
          <w:tcPr>
            <w:tcW w:type="dxa" w:w="2200"/>
            <w:tcMar>
              <w:top w:type="dxa" w:w="60"/>
              <w:left w:type="dxa" w:w="90"/>
              <w:bottom w:type="dxa" w:w="60"/>
              <w:right w:type="dxa" w:w="90"/>
            </w:tcMar>
          </w:tcPr>
          <w:p>
            <w:pPr>
              <w:keepNext w:val="false"/>
              <w:spacing w:after="0" w:line="240"/>
              <w:jc w:val="left"/>
            </w:pPr>
            <w:r>
              <w:rPr>
                <w:rFonts w:ascii="Times New Roman" w:cs="Times New Roman" w:eastAsia="Times New Roman" w:hAnsi="Times New Roman"/>
                <w:b w:val="false"/>
                <w:bCs w:val="false"/>
                <w:color w:val="000000"/>
                <w:sz w:val="18"/>
                <w:szCs w:val="18"/>
              </w:rPr>
              <w:t xml:space="preserve">Table 3: "same source" and "same dataset" are undefined.</w:t>
            </w:r>
          </w:p>
        </w:tc>
        <w:tc>
          <w:tcPr>
            <w:tcW w:type="dxa" w:w="5260"/>
            <w:tcMar>
              <w:top w:type="dxa" w:w="60"/>
              <w:left w:type="dxa" w:w="90"/>
              <w:bottom w:type="dxa" w:w="60"/>
              <w:right w:type="dxa" w:w="90"/>
            </w:tcMar>
          </w:tcPr>
          <w:p>
            <w:pPr>
              <w:keepNext w:val="false"/>
              <w:spacing w:after="0" w:line="240"/>
              <w:jc w:val="left"/>
            </w:pPr>
            <w:r>
              <w:rPr>
                <w:rFonts w:ascii="Times New Roman" w:cs="Times New Roman" w:eastAsia="Times New Roman" w:hAnsi="Times New Roman"/>
                <w:b w:val="false"/>
                <w:bCs w:val="false"/>
                <w:color w:val="000000"/>
                <w:sz w:val="18"/>
                <w:szCs w:val="18"/>
              </w:rPr>
              <w:t xml:space="preserve">Four levels are now defined once and used everywhere: within dataset (two disjoint slices of one dataset), within source (one clinic or group, no shared images), within modality (one modality, different sources) and across modality. Kvasir and its sessile subset are within source. FUSeg and AZH, both from the AZH Wound and Vascular Center, are also within source, not within modality as before.</w:t>
            </w:r>
          </w:p>
        </w:tc>
        <w:tc>
          <w:tcPr>
            <w:tcW w:type="dxa" w:w="1500"/>
            <w:tcMar>
              <w:top w:type="dxa" w:w="60"/>
              <w:left w:type="dxa" w:w="90"/>
              <w:bottom w:type="dxa" w:w="60"/>
              <w:right w:type="dxa" w:w="90"/>
            </w:tcMar>
          </w:tcPr>
          <w:p>
            <w:pPr>
              <w:keepNext w:val="false"/>
              <w:spacing w:after="0" w:line="240"/>
              <w:jc w:val="left"/>
            </w:pPr>
            <w:r>
              <w:rPr>
                <w:rFonts w:ascii="Times New Roman" w:cs="Times New Roman" w:eastAsia="Times New Roman" w:hAnsi="Times New Roman"/>
                <w:b w:val="false"/>
                <w:bCs w:val="false"/>
                <w:color w:val="000000"/>
                <w:sz w:val="18"/>
                <w:szCs w:val="18"/>
              </w:rPr>
              <w:t xml:space="preserve">Sec. 3.5, Table 3, Appendix A</w:t>
            </w:r>
          </w:p>
        </w:tc>
      </w:tr>
      <w:tr>
        <w:trPr>
          <w:cantSplit/>
        </w:trPr>
        <w:tc>
          <w:tcPr>
            <w:tcW w:type="dxa" w:w="400"/>
            <w:tcMar>
              <w:top w:type="dxa" w:w="60"/>
              <w:left w:type="dxa" w:w="90"/>
              <w:bottom w:type="dxa" w:w="60"/>
              <w:right w:type="dxa" w:w="90"/>
            </w:tcMar>
          </w:tcPr>
          <w:p>
            <w:pPr>
              <w:keepNext w:val="false"/>
              <w:spacing w:after="0" w:line="240"/>
              <w:jc w:val="left"/>
            </w:pPr>
            <w:r>
              <w:rPr>
                <w:rFonts w:ascii="Times New Roman" w:cs="Times New Roman" w:eastAsia="Times New Roman" w:hAnsi="Times New Roman"/>
                <w:b w:val="false"/>
                <w:bCs w:val="false"/>
                <w:color w:val="000000"/>
                <w:sz w:val="18"/>
                <w:szCs w:val="18"/>
              </w:rPr>
              <w:t xml:space="preserve">5</w:t>
            </w:r>
          </w:p>
        </w:tc>
        <w:tc>
          <w:tcPr>
            <w:tcW w:type="dxa" w:w="2200"/>
            <w:tcMar>
              <w:top w:type="dxa" w:w="60"/>
              <w:left w:type="dxa" w:w="90"/>
              <w:bottom w:type="dxa" w:w="60"/>
              <w:right w:type="dxa" w:w="90"/>
            </w:tcMar>
          </w:tcPr>
          <w:p>
            <w:pPr>
              <w:keepNext w:val="false"/>
              <w:spacing w:after="0" w:line="240"/>
              <w:jc w:val="left"/>
            </w:pPr>
            <w:r>
              <w:rPr>
                <w:rFonts w:ascii="Times New Roman" w:cs="Times New Roman" w:eastAsia="Times New Roman" w:hAnsi="Times New Roman"/>
                <w:b w:val="false"/>
                <w:bCs w:val="false"/>
                <w:color w:val="000000"/>
                <w:sz w:val="18"/>
                <w:szCs w:val="18"/>
              </w:rPr>
              <w:t xml:space="preserve">Sec. 3.3: the 98% and 49% figures use different ceilings.</w:t>
            </w:r>
          </w:p>
        </w:tc>
        <w:tc>
          <w:tcPr>
            <w:tcW w:type="dxa" w:w="5260"/>
            <w:tcMar>
              <w:top w:type="dxa" w:w="60"/>
              <w:left w:type="dxa" w:w="90"/>
              <w:bottom w:type="dxa" w:w="60"/>
              <w:right w:type="dxa" w:w="90"/>
            </w:tcMar>
          </w:tcPr>
          <w:p>
            <w:pPr>
              <w:keepNext w:val="false"/>
              <w:spacing w:after="0" w:line="240"/>
              <w:jc w:val="left"/>
            </w:pPr>
            <w:r>
              <w:rPr>
                <w:rFonts w:ascii="Times New Roman" w:cs="Times New Roman" w:eastAsia="Times New Roman" w:hAnsi="Times New Roman"/>
                <w:b w:val="false"/>
                <w:bCs w:val="false"/>
                <w:color w:val="000000"/>
                <w:sz w:val="18"/>
                <w:szCs w:val="18"/>
              </w:rPr>
              <w:t xml:space="preserve">The comparison has been redone as a full design: three method pools (original 22, 18 untrained, all 32) against three reference pairs, each normalised by its own ceiling over the same pool. The third pair, Medetec and CO2Wounds-V2, is new and shares no source with the training data. With the references held fixed, validity falls from 99 to 60 percent (Medetec and FUSeg) and from 116 to 48 percent (Medetec and AZH) as the pool grows, so the shifted ceiling did not cause the drop. Against Medetec and CO2Wounds-V2 the full pool still reaches 96 percent. Adding the trained methods lowers absolute agreement by 0.21 to 0.24 for every pair, and absolute agreement is reported next to every percentage.</w:t>
            </w:r>
          </w:p>
        </w:tc>
        <w:tc>
          <w:tcPr>
            <w:tcW w:type="dxa" w:w="1500"/>
            <w:tcMar>
              <w:top w:type="dxa" w:w="60"/>
              <w:left w:type="dxa" w:w="90"/>
              <w:bottom w:type="dxa" w:w="60"/>
              <w:right w:type="dxa" w:w="90"/>
            </w:tcMar>
          </w:tcPr>
          <w:p>
            <w:pPr>
              <w:keepNext w:val="false"/>
              <w:spacing w:after="0" w:line="240"/>
              <w:jc w:val="left"/>
            </w:pPr>
            <w:r>
              <w:rPr>
                <w:rFonts w:ascii="Times New Roman" w:cs="Times New Roman" w:eastAsia="Times New Roman" w:hAnsi="Times New Roman"/>
                <w:b w:val="false"/>
                <w:bCs w:val="false"/>
                <w:color w:val="000000"/>
                <w:sz w:val="18"/>
                <w:szCs w:val="18"/>
              </w:rPr>
              <w:t xml:space="preserve">Sec. 4.3, Table 6</w:t>
            </w:r>
          </w:p>
        </w:tc>
      </w:tr>
      <w:tr>
        <w:trPr>
          <w:cantSplit/>
        </w:trPr>
        <w:tc>
          <w:tcPr>
            <w:tcW w:type="dxa" w:w="400"/>
            <w:tcMar>
              <w:top w:type="dxa" w:w="60"/>
              <w:left w:type="dxa" w:w="90"/>
              <w:bottom w:type="dxa" w:w="60"/>
              <w:right w:type="dxa" w:w="90"/>
            </w:tcMar>
          </w:tcPr>
          <w:p>
            <w:pPr>
              <w:keepNext w:val="false"/>
              <w:spacing w:after="0" w:line="240"/>
              <w:jc w:val="left"/>
            </w:pPr>
            <w:r>
              <w:rPr>
                <w:rFonts w:ascii="Times New Roman" w:cs="Times New Roman" w:eastAsia="Times New Roman" w:hAnsi="Times New Roman"/>
                <w:b w:val="false"/>
                <w:bCs w:val="false"/>
                <w:color w:val="000000"/>
                <w:sz w:val="18"/>
                <w:szCs w:val="18"/>
              </w:rPr>
              <w:t xml:space="preserve">6</w:t>
            </w:r>
          </w:p>
        </w:tc>
        <w:tc>
          <w:tcPr>
            <w:tcW w:type="dxa" w:w="2200"/>
            <w:tcMar>
              <w:top w:type="dxa" w:w="60"/>
              <w:left w:type="dxa" w:w="90"/>
              <w:bottom w:type="dxa" w:w="60"/>
              <w:right w:type="dxa" w:w="90"/>
            </w:tcMar>
          </w:tcPr>
          <w:p>
            <w:pPr>
              <w:keepNext w:val="false"/>
              <w:spacing w:after="0" w:line="240"/>
              <w:jc w:val="left"/>
            </w:pPr>
            <w:r>
              <w:rPr>
                <w:rFonts w:ascii="Times New Roman" w:cs="Times New Roman" w:eastAsia="Times New Roman" w:hAnsi="Times New Roman"/>
                <w:b w:val="false"/>
                <w:bCs w:val="false"/>
                <w:color w:val="000000"/>
                <w:sz w:val="18"/>
                <w:szCs w:val="18"/>
              </w:rPr>
              <w:t xml:space="preserve">Fig. 3: the two ceilings are not explicit.</w:t>
            </w:r>
          </w:p>
        </w:tc>
        <w:tc>
          <w:tcPr>
            <w:tcW w:type="dxa" w:w="5260"/>
            <w:tcMar>
              <w:top w:type="dxa" w:w="60"/>
              <w:left w:type="dxa" w:w="90"/>
              <w:bottom w:type="dxa" w:w="60"/>
              <w:right w:type="dxa" w:w="90"/>
            </w:tcMar>
          </w:tcPr>
          <w:p>
            <w:pPr>
              <w:keepNext w:val="false"/>
              <w:spacing w:after="0" w:line="240"/>
              <w:jc w:val="left"/>
            </w:pPr>
            <w:r>
              <w:rPr>
                <w:rFonts w:ascii="Times New Roman" w:cs="Times New Roman" w:eastAsia="Times New Roman" w:hAnsi="Times New Roman"/>
                <w:b w:val="false"/>
                <w:bCs w:val="false"/>
                <w:color w:val="000000"/>
                <w:sz w:val="18"/>
                <w:szCs w:val="18"/>
              </w:rPr>
              <w:t xml:space="preserve">Figure 3 is redrawn with one panel per reference pair. Every pool has its own ceiling line, in the same shade as its curve and labelled with its value, so no point is read against the wrong line.</w:t>
            </w:r>
          </w:p>
        </w:tc>
        <w:tc>
          <w:tcPr>
            <w:tcW w:type="dxa" w:w="1500"/>
            <w:tcMar>
              <w:top w:type="dxa" w:w="60"/>
              <w:left w:type="dxa" w:w="90"/>
              <w:bottom w:type="dxa" w:w="60"/>
              <w:right w:type="dxa" w:w="90"/>
            </w:tcMar>
          </w:tcPr>
          <w:p>
            <w:pPr>
              <w:keepNext w:val="false"/>
              <w:spacing w:after="0" w:line="240"/>
              <w:jc w:val="left"/>
            </w:pPr>
            <w:r>
              <w:rPr>
                <w:rFonts w:ascii="Times New Roman" w:cs="Times New Roman" w:eastAsia="Times New Roman" w:hAnsi="Times New Roman"/>
                <w:b w:val="false"/>
                <w:bCs w:val="false"/>
                <w:color w:val="000000"/>
                <w:sz w:val="18"/>
                <w:szCs w:val="18"/>
              </w:rPr>
              <w:t xml:space="preserve">Figure 3</w:t>
            </w:r>
          </w:p>
        </w:tc>
      </w:tr>
      <w:tr>
        <w:trPr>
          <w:cantSplit/>
        </w:trPr>
        <w:tc>
          <w:tcPr>
            <w:tcW w:type="dxa" w:w="400"/>
            <w:tcMar>
              <w:top w:type="dxa" w:w="60"/>
              <w:left w:type="dxa" w:w="90"/>
              <w:bottom w:type="dxa" w:w="60"/>
              <w:right w:type="dxa" w:w="90"/>
            </w:tcMar>
          </w:tcPr>
          <w:p>
            <w:pPr>
              <w:keepNext w:val="false"/>
              <w:spacing w:after="0" w:line="240"/>
              <w:jc w:val="left"/>
            </w:pPr>
            <w:r>
              <w:rPr>
                <w:rFonts w:ascii="Times New Roman" w:cs="Times New Roman" w:eastAsia="Times New Roman" w:hAnsi="Times New Roman"/>
                <w:b w:val="false"/>
                <w:bCs w:val="false"/>
                <w:color w:val="000000"/>
                <w:sz w:val="18"/>
                <w:szCs w:val="18"/>
              </w:rPr>
              <w:t xml:space="preserve">7</w:t>
            </w:r>
          </w:p>
        </w:tc>
        <w:tc>
          <w:tcPr>
            <w:tcW w:type="dxa" w:w="2200"/>
            <w:tcMar>
              <w:top w:type="dxa" w:w="60"/>
              <w:left w:type="dxa" w:w="90"/>
              <w:bottom w:type="dxa" w:w="60"/>
              <w:right w:type="dxa" w:w="90"/>
            </w:tcMar>
          </w:tcPr>
          <w:p>
            <w:pPr>
              <w:keepNext w:val="false"/>
              <w:spacing w:after="0" w:line="240"/>
              <w:jc w:val="left"/>
            </w:pPr>
            <w:r>
              <w:rPr>
                <w:rFonts w:ascii="Times New Roman" w:cs="Times New Roman" w:eastAsia="Times New Roman" w:hAnsi="Times New Roman"/>
                <w:b w:val="false"/>
                <w:bCs w:val="false"/>
                <w:color w:val="000000"/>
                <w:sz w:val="18"/>
                <w:szCs w:val="18"/>
              </w:rPr>
              <w:t xml:space="preserve">Sec. 4.3: domain randomisation advice is uncited.</w:t>
            </w:r>
          </w:p>
        </w:tc>
        <w:tc>
          <w:tcPr>
            <w:tcW w:type="dxa" w:w="5260"/>
            <w:tcMar>
              <w:top w:type="dxa" w:w="60"/>
              <w:left w:type="dxa" w:w="90"/>
              <w:bottom w:type="dxa" w:w="60"/>
              <w:right w:type="dxa" w:w="90"/>
            </w:tcMar>
          </w:tcPr>
          <w:p>
            <w:pPr>
              <w:keepNext w:val="false"/>
              <w:spacing w:after="0" w:line="240"/>
              <w:jc w:val="left"/>
            </w:pPr>
            <w:r>
              <w:rPr>
                <w:rFonts w:ascii="Times New Roman" w:cs="Times New Roman" w:eastAsia="Times New Roman" w:hAnsi="Times New Roman"/>
                <w:b w:val="false"/>
                <w:bCs w:val="false"/>
                <w:color w:val="000000"/>
                <w:sz w:val="18"/>
                <w:szCs w:val="18"/>
              </w:rPr>
              <w:t xml:space="preserve">Cited: Tobin et al. (2017) and Tremblay et al. (2018), with Prakash et al. (2019) for the structured variant. The paragraph now also states why evaluation differs from training: a benchmark should match the deployment distribution rather than exceed it.</w:t>
            </w:r>
          </w:p>
        </w:tc>
        <w:tc>
          <w:tcPr>
            <w:tcW w:type="dxa" w:w="1500"/>
            <w:tcMar>
              <w:top w:type="dxa" w:w="60"/>
              <w:left w:type="dxa" w:w="90"/>
              <w:bottom w:type="dxa" w:w="60"/>
              <w:right w:type="dxa" w:w="90"/>
            </w:tcMar>
          </w:tcPr>
          <w:p>
            <w:pPr>
              <w:keepNext w:val="false"/>
              <w:spacing w:after="0" w:line="240"/>
              <w:jc w:val="left"/>
            </w:pPr>
            <w:r>
              <w:rPr>
                <w:rFonts w:ascii="Times New Roman" w:cs="Times New Roman" w:eastAsia="Times New Roman" w:hAnsi="Times New Roman"/>
                <w:b w:val="false"/>
                <w:bCs w:val="false"/>
                <w:color w:val="000000"/>
                <w:sz w:val="18"/>
                <w:szCs w:val="18"/>
              </w:rPr>
              <w:t xml:space="preserve">Sec. 5.4</w:t>
            </w:r>
          </w:p>
        </w:tc>
      </w:tr>
    </w:tbl>
    <w:p>
      <w:pPr>
        <w:pStyle w:val="Heading2"/>
        <w:keepNext/>
        <w:spacing w:after="120" w:before="260"/>
      </w:pPr>
      <w:r>
        <w:rPr>
          <w:rFonts w:ascii="Times New Roman" w:cs="Times New Roman" w:eastAsia="Times New Roman" w:hAnsi="Times New Roman"/>
          <w:b/>
          <w:bCs/>
          <w:color w:val="000000"/>
          <w:sz w:val="23"/>
          <w:szCs w:val="23"/>
        </w:rPr>
        <w:t xml:space="preserve">Other changes in this revision</w:t>
      </w:r>
    </w:p>
    <w:p>
      <w:pPr>
        <w:spacing w:after="90" w:line="276"/>
        <w:ind w:left="360" w:hanging="240"/>
        <w:jc w:val="both"/>
      </w:pPr>
      <w:r>
        <w:rPr>
          <w:rFonts w:ascii="Times New Roman" w:cs="Times New Roman" w:eastAsia="Times New Roman" w:hAnsi="Times New Roman"/>
          <w:color w:val="000000"/>
          <w:sz w:val="22"/>
          <w:szCs w:val="22"/>
        </w:rPr>
        <w:t xml:space="preserve">•  Clinical references grew from six sets in two modalities to eleven non-control sets from eight sources in four modalities. CO2Wounds-V2 (smartphone photographs from a leprosy clinic in Colombia) gives wound photography a third independent source; CVC-ClinicDB, CVC-ColonDB and ETIS-LaribPolypDB (colonoscopy), PH2 (dermoscopy) and the TN3K test split (thyroid ultrasound) were also added.</w:t>
      </w:r>
    </w:p>
    <w:p>
      <w:pPr>
        <w:spacing w:after="90" w:line="276"/>
        <w:ind w:left="360" w:hanging="240"/>
        <w:jc w:val="both"/>
      </w:pPr>
      <w:r>
        <w:rPr>
          <w:rFonts w:ascii="Times New Roman" w:cs="Times New Roman" w:eastAsia="Times New Roman" w:hAnsi="Times New Roman"/>
          <w:color w:val="000000"/>
          <w:sz w:val="22"/>
          <w:szCs w:val="22"/>
        </w:rPr>
        <w:t xml:space="preserve">•  Every result is reported for all 32 methods, for the 18 untrained methods and for the 14 trained methods separately. Because all trained methods were trained on FUSeg, this also separates the effect of training domain.</w:t>
      </w:r>
    </w:p>
    <w:p>
      <w:pPr>
        <w:spacing w:after="90" w:line="276"/>
        <w:ind w:left="360" w:hanging="240"/>
        <w:jc w:val="both"/>
      </w:pPr>
      <w:r>
        <w:rPr>
          <w:rFonts w:ascii="Times New Roman" w:cs="Times New Roman" w:eastAsia="Times New Roman" w:hAnsi="Times New Roman"/>
          <w:color w:val="000000"/>
          <w:sz w:val="22"/>
          <w:szCs w:val="22"/>
        </w:rPr>
        <w:t xml:space="preserve">•  Every result is computed under Dice and under normalised surface Dice.</w:t>
      </w:r>
    </w:p>
    <w:p>
      <w:pPr>
        <w:spacing w:after="90" w:line="276"/>
        <w:ind w:left="360" w:hanging="240"/>
        <w:jc w:val="both"/>
      </w:pPr>
      <w:r>
        <w:rPr>
          <w:rFonts w:ascii="Times New Roman" w:cs="Times New Roman" w:eastAsia="Times New Roman" w:hAnsi="Times New Roman"/>
          <w:color w:val="000000"/>
          <w:sz w:val="22"/>
          <w:szCs w:val="22"/>
        </w:rPr>
        <w:t xml:space="preserve">•  The modality test is an exact permutation over reference modality labels, so the dependence between pairs that share a reference is respected.</w:t>
      </w:r>
    </w:p>
    <w:p>
      <w:pPr>
        <w:spacing w:after="90" w:line="276"/>
        <w:ind w:left="360" w:hanging="240"/>
        <w:jc w:val="both"/>
      </w:pPr>
      <w:r>
        <w:rPr>
          <w:rFonts w:ascii="Times New Roman" w:cs="Times New Roman" w:eastAsia="Times New Roman" w:hAnsi="Times New Roman"/>
          <w:color w:val="000000"/>
          <w:sz w:val="22"/>
          <w:szCs w:val="22"/>
        </w:rPr>
        <w:t xml:space="preserve">•  Effects that appear only when trained and untrained methods are pooled are reported as such. The earlier framing reversal does not survive within pools; the weakening of the boundary-metric preference with lesion fraction does. The texture effect and the matched-benchmark difference survive against some reference pairs and not others, and both outcomes are reported.</w:t>
      </w:r>
    </w:p>
    <w:sectPr>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2026-10-08T13:35:45.088Z</dcterms:created>
  <dcterms:modified xsi:type="dcterms:W3CDTF">2026-10-08T13:35:45.089Z</dcterms:modified>
</cp:coreProperties>
</file>

<file path=docProps/custom.xml><?xml version="1.0" encoding="utf-8"?>
<Properties xmlns="http://schemas.openxmlformats.org/officeDocument/2006/custom-properties" xmlns:vt="http://schemas.openxmlformats.org/officeDocument/2006/docPropsVTypes"/>
</file>