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Times New Roman" w:hAnsi="Times New Roman"/>
          <w:b/>
          <w:bCs/>
          <w:color w:val="000000"/>
          <w:sz w:val="30"/>
          <w:szCs w:val="30"/>
        </w:rPr>
        <w:t xml:space="preserve">How the clinical reference and the method pool determine synthetic benchmark validity in medical image segmentation</w:t>
      </w:r>
    </w:p>
    <w:p>
      <w:pPr>
        <w:pBdr>
          <w:bottom w:val="single" w:color="8C8C8C" w:sz="6" w:space="8"/>
        </w:pBdr>
        <w:spacing w:after="240"/>
      </w:pPr>
      <w:r>
        <w:rPr>
          <w:rFonts w:ascii="Times New Roman" w:cs="Times New Roman" w:eastAsia="Times New Roman" w:hAnsi="Times New Roman"/>
          <w:sz w:val="2"/>
          <w:szCs w:val="2"/>
        </w:rPr>
        <w:t xml:space="preserve"/>
      </w:r>
    </w:p>
    <w:p>
      <w:pPr>
        <w:pStyle w:val="Heading2"/>
        <w:keepNext/>
        <w:spacing w:after="120" w:before="260"/>
      </w:pPr>
      <w:r>
        <w:rPr>
          <w:rFonts w:ascii="Times New Roman" w:cs="Times New Roman" w:eastAsia="Times New Roman" w:hAnsi="Times New Roman"/>
          <w:b/>
          <w:bCs/>
          <w:color w:val="000000"/>
          <w:sz w:val="23"/>
          <w:szCs w:val="23"/>
        </w:rPr>
        <w:t xml:space="preserve">Abstract</w:t>
      </w:r>
    </w:p>
    <w:p>
      <w:pPr>
        <w:spacing w:after="140" w:line="276"/>
        <w:jc w:val="both"/>
      </w:pPr>
      <w:r>
        <w:rPr>
          <w:rFonts w:ascii="Times New Roman" w:cs="Times New Roman" w:eastAsia="Times New Roman" w:hAnsi="Times New Roman"/>
          <w:b/>
          <w:bCs/>
          <w:color w:val="000000"/>
          <w:sz w:val="22"/>
          <w:szCs w:val="22"/>
        </w:rPr>
        <w:t xml:space="preserve">Background.</w:t>
      </w:r>
      <w:r>
        <w:rPr>
          <w:rFonts w:ascii="Times New Roman" w:cs="Times New Roman" w:eastAsia="Times New Roman" w:hAnsi="Times New Roman"/>
          <w:color w:val="000000"/>
          <w:sz w:val="22"/>
          <w:szCs w:val="22"/>
        </w:rPr>
        <w:t xml:space="preserve"> A synthetic benchmark for medical image segmentation is usually validated by showing that it ranks methods the way a clinical dataset does. That validity figure depends on more than the benchmark, but which dependencies matter, and by how much, has not been measured for segmentation.</w:t>
      </w:r>
    </w:p>
    <w:p>
      <w:pPr>
        <w:spacing w:after="140" w:line="276"/>
        <w:jc w:val="both"/>
      </w:pPr>
      <w:r>
        <w:rPr>
          <w:rFonts w:ascii="Times New Roman" w:cs="Times New Roman" w:eastAsia="Times New Roman" w:hAnsi="Times New Roman"/>
          <w:b/>
          <w:bCs/>
          <w:color w:val="000000"/>
          <w:sz w:val="22"/>
          <w:szCs w:val="22"/>
        </w:rPr>
        <w:t xml:space="preserve">Methods.</w:t>
      </w:r>
      <w:r>
        <w:rPr>
          <w:rFonts w:ascii="Times New Roman" w:cs="Times New Roman" w:eastAsia="Times New Roman" w:hAnsi="Times New Roman"/>
          <w:color w:val="000000"/>
          <w:sz w:val="22"/>
          <w:szCs w:val="22"/>
        </w:rPr>
        <w:t xml:space="preserve"> We scored 32 methods: 18 untrained classical algorithms and 14 methods trained on chronic wound photographs (three pixel classifiers, a small U-Net, and ten architectures trained from random initialisation). The clinical references are ten datasets from seven sources in four modalities (wound photography, colonoscopy, dermoscopy, thyroid ultrasound) plus a within-dataset control. The synthetic benchmarks are parametric wound images from three generator families. Agreement is the Spearman rank correlation of per-method mean scores, computed under Dice and under normalised surface Dice, over four generator seeds, with exact permutation tests at the level of references.</w:t>
      </w:r>
    </w:p>
    <w:p>
      <w:pPr>
        <w:spacing w:after="140" w:line="276"/>
        <w:jc w:val="both"/>
      </w:pPr>
      <w:r>
        <w:rPr>
          <w:rFonts w:ascii="Times New Roman" w:cs="Times New Roman" w:eastAsia="Times New Roman" w:hAnsi="Times New Roman"/>
          <w:b/>
          <w:bCs/>
          <w:color w:val="000000"/>
          <w:sz w:val="22"/>
          <w:szCs w:val="22"/>
        </w:rPr>
        <w:t xml:space="preserve">Results.</w:t>
      </w:r>
      <w:r>
        <w:rPr>
          <w:rFonts w:ascii="Times New Roman" w:cs="Times New Roman" w:eastAsia="Times New Roman" w:hAnsi="Times New Roman"/>
          <w:color w:val="000000"/>
          <w:sz w:val="22"/>
          <w:szCs w:val="22"/>
        </w:rPr>
        <w:t xml:space="preserve"> Agreement between clinical references is organised by modality, not by source. Same-modality agreement exceeds across-modality agreement by 0.75 among untrained methods and by 0.67 among trained methods (exact p of 0.0004 and 0.004), and colonoscopy datasets from three independent sources agree at 0.70 to 0.94 among untrained methods. Pooling trained and untrained methods manufactures structure in both directions: wound references appear anti-correlated with the other modalities (mean -0.35) and the non-wound modalities appear to agree with each other (+0.41), yet within either pool both effects are close to zero. The validity of a synthetic wound benchmark depends on the pool: with the references held fixed, its agreement with clinical data falls from 99 to 116 percent of the clinical-to-clinical agreement over the original 22 methods to 48 to 60 percent over all 32. Benchmarks matched to within 0.03 on a measured background-texture statistic differ by 0.176 in validity among untrained methods. Two effects found earlier in this work, a reversal of a reference's preference for lesion contrast and a texture dose-response, disappear within either pool. What remains, under the boundary metric, is a monotonic weakening of the contrast preference as the reference's lesion fraction rises, which holds in both pools and places a held-out dataset within 4 to 15 percent of the curve range.</w:t>
      </w:r>
    </w:p>
    <w:p>
      <w:pPr>
        <w:spacing w:after="140" w:line="276"/>
        <w:jc w:val="both"/>
      </w:pPr>
      <w:r>
        <w:rPr>
          <w:rFonts w:ascii="Times New Roman" w:cs="Times New Roman" w:eastAsia="Times New Roman" w:hAnsi="Times New Roman"/>
          <w:b/>
          <w:bCs/>
          <w:color w:val="000000"/>
          <w:sz w:val="22"/>
          <w:szCs w:val="22"/>
        </w:rPr>
        <w:t xml:space="preserve">Conclusions.</w:t>
      </w:r>
      <w:r>
        <w:rPr>
          <w:rFonts w:ascii="Times New Roman" w:cs="Times New Roman" w:eastAsia="Times New Roman" w:hAnsi="Times New Roman"/>
          <w:color w:val="000000"/>
          <w:sz w:val="22"/>
          <w:szCs w:val="22"/>
        </w:rPr>
        <w:t xml:space="preserve"> A benchmark validity figure is a property of the benchmark, the reference and the method pool together. Agreement should be reported as a matrix over references, with the method pool named, trained and untrained methods analysed separately, and a within-dataset control included.</w:t>
      </w:r>
    </w:p>
    <w:p>
      <w:pPr>
        <w:spacing w:after="200" w:line="276"/>
        <w:jc w:val="both"/>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benchmark validity; rank agreement; synthetic data; method pool; evaluation methodology; medical image segmentation</w:t>
      </w:r>
    </w:p>
    <w:p>
      <w:pPr>
        <w:pStyle w:val="Heading1"/>
        <w:keepNext/>
        <w:spacing w:after="160" w:before="360"/>
      </w:pPr>
      <w:r>
        <w:rPr>
          <w:rFonts w:ascii="Times New Roman" w:cs="Times New Roman" w:eastAsia="Times New Roman" w:hAnsi="Times New Roman"/>
          <w:b/>
          <w:bCs/>
          <w:color w:val="000000"/>
          <w:sz w:val="26"/>
          <w:szCs w:val="26"/>
        </w:rPr>
        <w:t xml:space="preserve">1. Introduction</w:t>
      </w:r>
    </w:p>
    <w:p>
      <w:pPr>
        <w:spacing w:after="140" w:line="276"/>
        <w:jc w:val="both"/>
      </w:pPr>
      <w:r>
        <w:rPr>
          <w:rFonts w:ascii="Times New Roman" w:cs="Times New Roman" w:eastAsia="Times New Roman" w:hAnsi="Times New Roman"/>
          <w:color w:val="000000"/>
          <w:sz w:val="22"/>
          <w:szCs w:val="22"/>
        </w:rPr>
        <w:t xml:space="preserve">Rankings of segmentation methods are known to be fragile. An analysis of 150 biomedical image analysis challenges showed that a method's rank changes with the test cases, the ranking scheme, the annotators and the aggregation rule (Maier-Hein et al., 2018), and later work gave the field a framework for choosing metrics (Maier-Hein et al., 2024) and a catalogue of metric pitfalls (Reinke et al., 2024). Leaderboards for the same task also change between test sets from different hospitals (Bassi et al., 2024; Ali et al., 2024).</w:t>
      </w:r>
    </w:p>
    <w:p>
      <w:pPr>
        <w:spacing w:after="140" w:line="276"/>
        <w:jc w:val="both"/>
      </w:pPr>
      <w:r>
        <w:rPr>
          <w:rFonts w:ascii="Times New Roman" w:cs="Times New Roman" w:eastAsia="Times New Roman" w:hAnsi="Times New Roman"/>
          <w:color w:val="000000"/>
          <w:sz w:val="22"/>
          <w:szCs w:val="22"/>
        </w:rPr>
        <w:t xml:space="preserve">Synthetic benchmarks add a further question. A parametric generator can produce unlimited labelled images with every design property under control, which makes it attractive for evaluating segmentation methods, but it is only useful if it orders methods the way clinical data does. The usual way to show this is to report the rank correlation between method scores on the benchmark and on one clinical dataset, sometimes normalised by the agreement between two real datasets (Kang, 2022; Borsukiewicz et al., 2026). The resulting figure is treated as a property of the benchmark.</w:t>
      </w:r>
    </w:p>
    <w:p>
      <w:pPr>
        <w:spacing w:after="140" w:line="276"/>
        <w:jc w:val="both"/>
      </w:pPr>
      <w:r>
        <w:rPr>
          <w:rFonts w:ascii="Times New Roman" w:cs="Times New Roman" w:eastAsia="Times New Roman" w:hAnsi="Times New Roman"/>
          <w:color w:val="000000"/>
          <w:sz w:val="22"/>
          <w:szCs w:val="22"/>
        </w:rPr>
        <w:t xml:space="preserve">This study measures how far that figure depends on things other than the benchmark. We score 32 segmentation methods on ten clinical references from seven sources in four modalities and on synthetic wound benchmarks from three generator families. Three dependences emerge, and a fourth effect that we originally reported turns out to be an instance of one of them.</w:t>
      </w:r>
    </w:p>
    <w:p>
      <w:pPr>
        <w:spacing w:after="140" w:line="276"/>
        <w:jc w:val="both"/>
      </w:pPr>
      <w:r>
        <w:rPr>
          <w:rFonts w:ascii="Times New Roman" w:cs="Times New Roman" w:eastAsia="Times New Roman" w:hAnsi="Times New Roman"/>
          <w:color w:val="000000"/>
          <w:sz w:val="22"/>
          <w:szCs w:val="22"/>
        </w:rPr>
        <w:t xml:space="preserve">The first dependence is the clinical reference. Agreement between two clinical datasets about which method is better is high within a modality and absent across modalities, whichever method pool is used. Colonoscopy datasets collected at three different centres agree with each other as strongly as two curations of one collection. Wound photography is the exception: its references agree only moderately with one another.</w:t>
      </w:r>
    </w:p>
    <w:p>
      <w:pPr>
        <w:spacing w:after="140" w:line="276"/>
        <w:jc w:val="both"/>
      </w:pPr>
      <w:r>
        <w:rPr>
          <w:rFonts w:ascii="Times New Roman" w:cs="Times New Roman" w:eastAsia="Times New Roman" w:hAnsi="Times New Roman"/>
          <w:color w:val="000000"/>
          <w:sz w:val="22"/>
          <w:szCs w:val="22"/>
        </w:rPr>
        <w:t xml:space="preserve">The second dependence is the method pool, and it is the largest. When trained and untrained methods are pooled, cross-domain rank correlations are dominated by which methods had training matched to the domain. In our data this makes wound references appear anti-correlated with the other modalities and makes those modalities appear to agree with each other, although neither effect exists within a homogeneous pool. The same mechanism halves the measured validity of a synthetic wound benchmark when modern architectures join a mostly classical pool. The principle that benchmark agreement depends on the models compared is established for language model benchmarks (Perlitz et al., 2024; Zhang et al., 2026) and for in-distribution and out-of-distribution accuracy (Teney et al., 2023). We show it in segmentation, show that it manufactures both agreement and disagreement, and show that it can produce apparent design-property effects inside a synthetic benchmark study.</w:t>
      </w:r>
    </w:p>
    <w:p>
      <w:pPr>
        <w:spacing w:after="140" w:line="276"/>
        <w:jc w:val="both"/>
      </w:pPr>
      <w:r>
        <w:rPr>
          <w:rFonts w:ascii="Times New Roman" w:cs="Times New Roman" w:eastAsia="Times New Roman" w:hAnsi="Times New Roman"/>
          <w:color w:val="000000"/>
          <w:sz w:val="22"/>
          <w:szCs w:val="22"/>
        </w:rPr>
        <w:t xml:space="preserve">That last point is the reason for a correction we report openly. In earlier stages of this work we found that a reference's preference for high or low lesion-to-surround contrast reversed as its lesion fraction increased, and that background texture raised benchmark validity. Both effects were measured over the mixed pool. Within either homogeneous pool neither survives. What survives, under a boundary-sensitive metric, is a smaller effect: the preference for contrast weakens monotonically as lesion fraction rises, in both pools, and a held-out dataset falls on the curve.</w:t>
      </w:r>
    </w:p>
    <w:p>
      <w:pPr>
        <w:spacing w:after="140" w:line="276"/>
        <w:jc w:val="both"/>
      </w:pPr>
      <w:r>
        <w:rPr>
          <w:rFonts w:ascii="Times New Roman" w:cs="Times New Roman" w:eastAsia="Times New Roman" w:hAnsi="Times New Roman"/>
          <w:color w:val="000000"/>
          <w:sz w:val="22"/>
          <w:szCs w:val="22"/>
        </w:rPr>
        <w:t xml:space="preserve">The third dependence concerns the benchmark images. A measured background-texture statistic does not determine validity: benchmarks from different generators matched on it to within 0.03 differ substantially in how well they order methods. This agrees with reports that a single fidelity statistic does not determine the usefulness or ranking validity of synthetic data (Deo et al., 2025; Borsukiewicz et al., 2026), and extends them with a controlled matching design.</w:t>
      </w:r>
    </w:p>
    <w:p>
      <w:pPr>
        <w:pStyle w:val="Heading2"/>
        <w:keepNext/>
        <w:spacing w:after="120" w:before="260"/>
      </w:pPr>
      <w:r>
        <w:rPr>
          <w:rFonts w:ascii="Times New Roman" w:cs="Times New Roman" w:eastAsia="Times New Roman" w:hAnsi="Times New Roman"/>
          <w:b/>
          <w:bCs/>
          <w:color w:val="000000"/>
          <w:sz w:val="23"/>
          <w:szCs w:val="23"/>
        </w:rPr>
        <w:t xml:space="preserve">1.1 Contributions</w:t>
      </w:r>
    </w:p>
    <w:p>
      <w:pPr>
        <w:spacing w:after="140" w:line="276"/>
        <w:ind w:left="240"/>
        <w:jc w:val="both"/>
      </w:pPr>
      <w:r>
        <w:rPr>
          <w:rFonts w:ascii="Times New Roman" w:cs="Times New Roman" w:eastAsia="Times New Roman" w:hAnsi="Times New Roman"/>
          <w:color w:val="000000"/>
          <w:sz w:val="22"/>
          <w:szCs w:val="22"/>
        </w:rPr>
        <w:t xml:space="preserve">1. A measured structure of rank agreement over ten clinical references in four modalities, with a within-dataset control, showing that agreement is organised by modality rather than by source, with exact permutation tests that respect the dependence between pairs.</w:t>
      </w:r>
    </w:p>
    <w:p>
      <w:pPr>
        <w:spacing w:after="140" w:line="276"/>
        <w:ind w:left="240"/>
        <w:jc w:val="both"/>
      </w:pPr>
      <w:r>
        <w:rPr>
          <w:rFonts w:ascii="Times New Roman" w:cs="Times New Roman" w:eastAsia="Times New Roman" w:hAnsi="Times New Roman"/>
          <w:color w:val="000000"/>
          <w:sz w:val="22"/>
          <w:szCs w:val="22"/>
        </w:rPr>
        <w:t xml:space="preserve">2. A demonstration in segmentation that pooling trained and untrained methods manufactures cross-domain rank structure in both directions, traced to training domain with per-reference evidence.</w:t>
      </w:r>
    </w:p>
    <w:p>
      <w:pPr>
        <w:spacing w:after="140" w:line="276"/>
        <w:ind w:left="240"/>
        <w:jc w:val="both"/>
      </w:pPr>
      <w:r>
        <w:rPr>
          <w:rFonts w:ascii="Times New Roman" w:cs="Times New Roman" w:eastAsia="Times New Roman" w:hAnsi="Times New Roman"/>
          <w:color w:val="000000"/>
          <w:sz w:val="22"/>
          <w:szCs w:val="22"/>
        </w:rPr>
        <w:t xml:space="preserve">3. A decomposition showing that the measured validity of a synthetic benchmark depends on the method pool with the clinical references held fixed: 99 to 116 percent of clinical agreement over 22 methods against 48 to 60 percent over 32.</w:t>
      </w:r>
    </w:p>
    <w:p>
      <w:pPr>
        <w:spacing w:after="140" w:line="276"/>
        <w:ind w:left="240"/>
        <w:jc w:val="both"/>
      </w:pPr>
      <w:r>
        <w:rPr>
          <w:rFonts w:ascii="Times New Roman" w:cs="Times New Roman" w:eastAsia="Times New Roman" w:hAnsi="Times New Roman"/>
          <w:color w:val="000000"/>
          <w:sz w:val="22"/>
          <w:szCs w:val="22"/>
        </w:rPr>
        <w:t xml:space="preserve">4. A matched-statistic test showing that synthetic benchmark validity is not determined by a measured background-texture statistic.</w:t>
      </w:r>
    </w:p>
    <w:p>
      <w:pPr>
        <w:spacing w:after="140" w:line="276"/>
        <w:ind w:left="240"/>
        <w:jc w:val="both"/>
      </w:pPr>
      <w:r>
        <w:rPr>
          <w:rFonts w:ascii="Times New Roman" w:cs="Times New Roman" w:eastAsia="Times New Roman" w:hAnsi="Times New Roman"/>
          <w:color w:val="000000"/>
          <w:sz w:val="22"/>
          <w:szCs w:val="22"/>
        </w:rPr>
        <w:t xml:space="preserve">5. A within-pool, boundary-metric relationship between a reference's lesion fraction and the strength of its contrast preference, together with the finding that the stronger reversal reported earlier is a pool-composition effect.</w:t>
      </w:r>
    </w:p>
    <w:p>
      <w:pPr>
        <w:pStyle w:val="Heading1"/>
        <w:keepNext/>
        <w:spacing w:after="160" w:before="360"/>
      </w:pPr>
      <w:r>
        <w:rPr>
          <w:rFonts w:ascii="Times New Roman" w:cs="Times New Roman" w:eastAsia="Times New Roman" w:hAnsi="Times New Roman"/>
          <w:b/>
          <w:bCs/>
          <w:color w:val="000000"/>
          <w:sz w:val="26"/>
          <w:szCs w:val="26"/>
        </w:rPr>
        <w:t xml:space="preserve">2. Related work</w:t>
      </w:r>
    </w:p>
    <w:p>
      <w:pPr>
        <w:pStyle w:val="Heading2"/>
        <w:keepNext/>
        <w:spacing w:after="120" w:before="260"/>
      </w:pPr>
      <w:r>
        <w:rPr>
          <w:rFonts w:ascii="Times New Roman" w:cs="Times New Roman" w:eastAsia="Times New Roman" w:hAnsi="Times New Roman"/>
          <w:b/>
          <w:bCs/>
          <w:color w:val="000000"/>
          <w:sz w:val="23"/>
          <w:szCs w:val="23"/>
        </w:rPr>
        <w:t xml:space="preserve">2.1 Ranking stability and agreement between datasets</w:t>
      </w:r>
    </w:p>
    <w:p>
      <w:pPr>
        <w:spacing w:after="140" w:line="276"/>
        <w:jc w:val="both"/>
      </w:pPr>
      <w:r>
        <w:rPr>
          <w:rFonts w:ascii="Times New Roman" w:cs="Times New Roman" w:eastAsia="Times New Roman" w:hAnsi="Times New Roman"/>
          <w:color w:val="000000"/>
          <w:sz w:val="22"/>
          <w:szCs w:val="22"/>
        </w:rPr>
        <w:t xml:space="preserve">Maier-Hein et al. (2018) showed that challenge rankings depend on test cases, metrics, aggregation and annotators, and the BIAS guideline set reporting standards for challenges (Maier-Hein et al., 2020). Wiesenfarth et al. (2021) provided tools for quantifying ranking uncertainty by bootstrapping test cases, and Eisenmann et al. (2023) analysed which strategies distinguish challenge winners. Within-dataset bootstrap analyses of this kind are the counterpart of our split-half control. They measure how stable one dataset's ranking is, not whether independently collected datasets agree.</w:t>
      </w:r>
    </w:p>
    <w:p>
      <w:pPr>
        <w:spacing w:after="140" w:line="276"/>
        <w:jc w:val="both"/>
      </w:pPr>
      <w:r>
        <w:rPr>
          <w:rFonts w:ascii="Times New Roman" w:cs="Times New Roman" w:eastAsia="Times New Roman" w:hAnsi="Times New Roman"/>
          <w:color w:val="000000"/>
          <w:sz w:val="22"/>
          <w:szCs w:val="22"/>
        </w:rPr>
        <w:t xml:space="preserve">Evidence on agreement between datasets is mostly qualitative in medical segmentation. The Touchstone benchmark found different winners on external test sets from different hospitals without reporting a rank correlation (Bassi et al., 2024), and the EndoCV2021 challenge folded performance deviation between seen and unseen colonoscopy centres into its ranking (Ali et al., 2024). The Medical Segmentation Decathlon found top-team rankings fairly stable across tasks (Antonelli et al., 2022), but those are rankings of self-configuring pipelines retrained per task, not of a fixed method pool scored on several references. Work on strong baselines shows that claimed improvements often disappear when baselines are properly configured (Isensee et al., 2021, 2024). For wound images, a three-model study reported consistent rankings across two external datasets (Benfatah, 2026) and a seven-model study reported substantial variability across datasets (Lucho et al., 2024). Outside medicine, rankings of 40 background subtraction methods transferred poorly across 53 video domains (Piérard et al., 2025).</w:t>
      </w:r>
    </w:p>
    <w:p>
      <w:pPr>
        <w:spacing w:after="140" w:line="276"/>
        <w:jc w:val="both"/>
      </w:pPr>
      <w:r>
        <w:rPr>
          <w:rFonts w:ascii="Times New Roman" w:cs="Times New Roman" w:eastAsia="Times New Roman" w:hAnsi="Times New Roman"/>
          <w:color w:val="000000"/>
          <w:sz w:val="22"/>
          <w:szCs w:val="22"/>
        </w:rPr>
        <w:t xml:space="preserve">In general machine learning, the question is usually posed as whether rankings survive distribution shift. Rankings on a reproduced ImageNet test set were largely preserved (Recht et al., 2019), in-distribution and out-of-distribution accuracy are often strongly correlated (Miller et al., 2021; Baek et al., 2022), and robustness to synthetic shifts transfers little to natural shifts (Taori et al., 2020). These studies use fixed, mostly neural model zoos on natural images, and they flag medical data and non-neural models as exceptions to the strong correlations. Our setting sits in exactly those conditions.</w:t>
      </w:r>
    </w:p>
    <w:p>
      <w:pPr>
        <w:pStyle w:val="Heading2"/>
        <w:keepNext/>
        <w:spacing w:after="120" w:before="260"/>
      </w:pPr>
      <w:r>
        <w:rPr>
          <w:rFonts w:ascii="Times New Roman" w:cs="Times New Roman" w:eastAsia="Times New Roman" w:hAnsi="Times New Roman"/>
          <w:b/>
          <w:bCs/>
          <w:color w:val="000000"/>
          <w:sz w:val="23"/>
          <w:szCs w:val="23"/>
        </w:rPr>
        <w:t xml:space="preserve">2.2 The method pool as a confound</w:t>
      </w:r>
    </w:p>
    <w:p>
      <w:pPr>
        <w:spacing w:after="140" w:line="276"/>
        <w:jc w:val="both"/>
      </w:pPr>
      <w:r>
        <w:rPr>
          <w:rFonts w:ascii="Times New Roman" w:cs="Times New Roman" w:eastAsia="Times New Roman" w:hAnsi="Times New Roman"/>
          <w:color w:val="000000"/>
          <w:sz w:val="22"/>
          <w:szCs w:val="22"/>
        </w:rPr>
        <w:t xml:space="preserve">Perlitz et al. (2024) showed for language model benchmarks that the agreement used to validate a new benchmark changes substantially with which subset of models is compared. Zhang et al. (2026) showed that much of the disagreement between benchmark rankings is caused by differences in how much each model was trained on each task, and that giving every model the same task-specific training raises average agreement from 0.51 to 0.74. Dominguez-Olmedo et al. (2025) made the same point about apparent capability gains. Teney et al. (2023) showed that the correlation between in-distribution and out-of-distribution accuracy can be negative on real datasets and that earlier positive findings partly reflected which models were selected. Our results carry this principle into medical segmentation with a pool that mixes untrained and trained methods, and show that the mechanism produces both spurious agreement and spurious disagreement, and can produce apparent design-property effects in a synthetic benchmark study.</w:t>
      </w:r>
    </w:p>
    <w:p>
      <w:pPr>
        <w:pStyle w:val="Heading2"/>
        <w:keepNext/>
        <w:spacing w:after="120" w:before="260"/>
      </w:pPr>
      <w:r>
        <w:rPr>
          <w:rFonts w:ascii="Times New Roman" w:cs="Times New Roman" w:eastAsia="Times New Roman" w:hAnsi="Times New Roman"/>
          <w:b/>
          <w:bCs/>
          <w:color w:val="000000"/>
          <w:sz w:val="23"/>
          <w:szCs w:val="23"/>
        </w:rPr>
        <w:t xml:space="preserve">2.3 Synthetic data for evaluation</w:t>
      </w:r>
    </w:p>
    <w:p>
      <w:pPr>
        <w:spacing w:after="140" w:line="276"/>
        <w:jc w:val="both"/>
      </w:pPr>
      <w:r>
        <w:rPr>
          <w:rFonts w:ascii="Times New Roman" w:cs="Times New Roman" w:eastAsia="Times New Roman" w:hAnsi="Times New Roman"/>
          <w:color w:val="000000"/>
          <w:sz w:val="22"/>
          <w:szCs w:val="22"/>
        </w:rPr>
        <w:t xml:space="preserve">Synthetic and simulated images have a long history in validating segmentation against known ground truth, from digital brain phantoms (Collins et al., 1998; Alfano et al., 2011) to in-silico imaging trials (Badano et al., 2018), and synthetic data more broadly is reviewed by Chen et al. (2021). Much recent work synthesises data for training rather than evaluation, for example domain randomisation for sim-to-real transfer (Tobin et al., 2017; Tremblay et al., 2018; Prakash et al., 2019) and contrast-agnostic brain segmentation trained on synthetic scans (Billot et al., 2023). Wound images have been synthesised with generative models (Sarp et al., 2021; Basiri et al., 2023), but we found no prior study that uses synthetic wound images to rank segmentation methods.</w:t>
      </w:r>
    </w:p>
    <w:p>
      <w:pPr>
        <w:spacing w:after="140" w:line="276"/>
        <w:jc w:val="both"/>
      </w:pPr>
      <w:r>
        <w:rPr>
          <w:rFonts w:ascii="Times New Roman" w:cs="Times New Roman" w:eastAsia="Times New Roman" w:hAnsi="Times New Roman"/>
          <w:color w:val="000000"/>
          <w:sz w:val="22"/>
          <w:szCs w:val="22"/>
        </w:rPr>
        <w:t xml:space="preserve">Studies closest to ours ask whether a synthetic test set ranks models as real data does. Shoshan et al. (2023) used synthetic data for model selection and gave a condition for rank preservation, van Breugel et al. (2023) proposed synthetic test data to improve model evaluation, and Maheshwari et al. (2024) tested synthetic data as a benchmark for language tasks. Kang (2022) and Borsukiewicz et al. (2026) compared synthetic-to-real rank agreement with real-to-real agreement for person re-identification and face recognition, which is the normalisation we also use. Borsukiewicz et al. (2026) further reported that FID is necessary but not sufficient for benchmark reliability, and Deo et al. (2025) found that no-reference image quality metrics correlate poorly with downstream suitability of generated medical images. None of these varies the method pool.</w:t>
      </w:r>
    </w:p>
    <w:p>
      <w:pPr>
        <w:pStyle w:val="Heading2"/>
        <w:keepNext/>
        <w:spacing w:after="120" w:before="260"/>
      </w:pPr>
      <w:r>
        <w:rPr>
          <w:rFonts w:ascii="Times New Roman" w:cs="Times New Roman" w:eastAsia="Times New Roman" w:hAnsi="Times New Roman"/>
          <w:b/>
          <w:bCs/>
          <w:color w:val="000000"/>
          <w:sz w:val="23"/>
          <w:szCs w:val="23"/>
        </w:rPr>
        <w:t xml:space="preserve">2.4 Region size, framing and dataset conventions</w:t>
      </w:r>
    </w:p>
    <w:p>
      <w:pPr>
        <w:spacing w:after="140" w:line="276"/>
        <w:jc w:val="both"/>
      </w:pPr>
      <w:r>
        <w:rPr>
          <w:rFonts w:ascii="Times New Roman" w:cs="Times New Roman" w:eastAsia="Times New Roman" w:hAnsi="Times New Roman"/>
          <w:color w:val="000000"/>
          <w:sz w:val="22"/>
          <w:szCs w:val="22"/>
        </w:rPr>
        <w:t xml:space="preserve">Datasets carry signatures of how they were collected and framed (Torralba and Efros, 2011), models exploit such signatures (Geirhos et al., 2020), and dataset shift in medical imaging has causal structure that matters for evaluation (Castro et al., 2020). Dice is biased by region size, both as a loss (Liu et al., 2024) and as a metric whose value depends on lesion load (Raina et al., 2023), which is one reason for boundary-based alternatives such as normalised surface Dice (Nikolov et al., 2018, 2021). Cropping and preprocessing change which pipeline wins between datasets (Alajmi et al., 2026), and annotation conventions themselves change scores (Kendrick et al., 2022). The wound datasets used here differ markedly in framing: FUSeg and AZH come from one clinic (Wang et al., 2020, 2024) but are distributed at different crops, and Medetec is a separate archive (Medetec, 2014). Wound segmentation methods are surveyed by Zhang et al. (2022), and diabetic foot ulcer segmentation has its own challenge series (Yap et al., 2024).</w:t>
      </w:r>
    </w:p>
    <w:p>
      <w:pPr>
        <w:pStyle w:val="Heading1"/>
        <w:keepNext/>
        <w:spacing w:after="160" w:before="360"/>
      </w:pPr>
      <w:r>
        <w:rPr>
          <w:rFonts w:ascii="Times New Roman" w:cs="Times New Roman" w:eastAsia="Times New Roman" w:hAnsi="Times New Roman"/>
          <w:b/>
          <w:bCs/>
          <w:color w:val="000000"/>
          <w:sz w:val="26"/>
          <w:szCs w:val="26"/>
        </w:rPr>
        <w:t xml:space="preserve">3. Methodology</w:t>
      </w:r>
    </w:p>
    <w:p>
      <w:pPr>
        <w:pStyle w:val="Heading2"/>
        <w:keepNext/>
        <w:spacing w:after="120" w:before="260"/>
      </w:pPr>
      <w:r>
        <w:rPr>
          <w:rFonts w:ascii="Times New Roman" w:cs="Times New Roman" w:eastAsia="Times New Roman" w:hAnsi="Times New Roman"/>
          <w:b/>
          <w:bCs/>
          <w:color w:val="000000"/>
          <w:sz w:val="23"/>
          <w:szCs w:val="23"/>
        </w:rPr>
        <w:t xml:space="preserve">3.1 Method pool</w:t>
      </w:r>
    </w:p>
    <w:p>
      <w:pPr>
        <w:spacing w:after="140" w:line="276"/>
        <w:jc w:val="both"/>
      </w:pPr>
      <w:r>
        <w:rPr>
          <w:rFonts w:ascii="Times New Roman" w:cs="Times New Roman" w:eastAsia="Times New Roman" w:hAnsi="Times New Roman"/>
          <w:color w:val="000000"/>
          <w:sz w:val="22"/>
          <w:szCs w:val="22"/>
        </w:rPr>
        <w:t xml:space="preserve">Thirty-two methods in two groups that differ in whether they were trained (Table 1). Every method runs through one interface with one shared post-processing step, so no part of a ranking reflects differences in how outputs were cleaned.</w:t>
      </w:r>
    </w:p>
    <w:p>
      <w:pPr>
        <w:keepNext/>
        <w:spacing w:after="90" w:before="20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The 32-method pool. Trained methods were all trained on FUSeg training images.</w:t>
      </w:r>
    </w:p>
    <w:tbl>
      <w:tblPr>
        <w:tblW w:type="dxa" w:w="9360"/>
        <w:tblBorders>
          <w:top w:val="single" w:color="8C8C8C" w:sz="8"/>
          <w:left w:val="none"/>
          <w:bottom w:val="single" w:color="8C8C8C" w:sz="8"/>
          <w:right w:val="none"/>
          <w:insideH w:val="single" w:color="CFCFCF" w:sz="2"/>
          <w:insideV w:val="none"/>
        </w:tblBorders>
      </w:tblPr>
      <w:tblGrid>
        <w:gridCol w:w="1500"/>
        <w:gridCol w:w="1900"/>
        <w:gridCol w:w="500"/>
        <w:gridCol w:w="5460"/>
      </w:tblGrid>
      <w:tr>
        <w:trPr>
          <w:tblHeader/>
        </w:trPr>
        <w:tc>
          <w:tcPr>
            <w:tcW w:type="dxa" w:w="1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Group</w:t>
            </w:r>
          </w:p>
        </w:tc>
        <w:tc>
          <w:tcPr>
            <w:tcW w:type="dxa" w:w="1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Family</w:t>
            </w:r>
          </w:p>
        </w:tc>
        <w:tc>
          <w:tcPr>
            <w:tcW w:type="dxa" w:w="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n</w:t>
            </w:r>
          </w:p>
        </w:tc>
        <w:tc>
          <w:tcPr>
            <w:tcW w:type="dxa" w:w="546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Members</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Untrained (18)</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Background-referenced</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5</w:t>
            </w:r>
          </w:p>
        </w:tc>
        <w:tc>
          <w:tcPr>
            <w:tcW w:type="dxa" w:w="54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adaptive Gaussian and mean thresholds, Otsu on grey, BGR and HSV corner distance</w:t>
            </w:r>
          </w:p>
        </w:tc>
      </w:tr>
      <w:tr>
        <w:trPr>
          <w:cantSplit/>
        </w:trPr>
        <w:tc>
          <w:tcPr>
            <w:tcW w:type="dxa" w:w="1500"/>
            <w:tcMar>
              <w:top w:type="dxa" w:w="60"/>
              <w:left w:type="dxa" w:w="90"/>
              <w:bottom w:type="dxa" w:w="60"/>
              <w:right w:type="dxa" w:w="90"/>
            </w:tcMar>
          </w:tcPr>
          <w:p>
            <w:pPr>
              <w:keepNext/>
              <w:spacing w:after="0" w:line="240"/>
              <w:jc w:val="left"/>
            </w:pP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Colour-referenced</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4</w:t>
            </w:r>
          </w:p>
        </w:tc>
        <w:tc>
          <w:tcPr>
            <w:tcW w:type="dxa" w:w="54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Otsu on a</w:t>
            </w:r>
            <w:r>
              <w:rPr>
                <w:rFonts w:ascii="Times New Roman" w:cs="Times New Roman" w:eastAsia="Times New Roman" w:hAnsi="Times New Roman"/>
                <w:b w:val="false"/>
                <w:bCs w:val="false"/>
                <w:i/>
                <w:iCs/>
                <w:color w:val="000000"/>
                <w:sz w:val="18"/>
                <w:szCs w:val="18"/>
              </w:rPr>
              <w:t xml:space="preserve">, 92nd percentile of a</w:t>
            </w:r>
            <w:r>
              <w:rPr>
                <w:rFonts w:ascii="Times New Roman" w:cs="Times New Roman" w:eastAsia="Times New Roman" w:hAnsi="Times New Roman"/>
                <w:b w:val="false"/>
                <w:bCs w:val="false"/>
                <w:color w:val="000000"/>
                <w:sz w:val="18"/>
                <w:szCs w:val="18"/>
              </w:rPr>
              <w:t xml:space="preserve">, redness ratio, Otsu on saturation</w:t>
            </w:r>
          </w:p>
        </w:tc>
      </w:tr>
      <w:tr>
        <w:trPr>
          <w:cantSplit/>
        </w:trPr>
        <w:tc>
          <w:tcPr>
            <w:tcW w:type="dxa" w:w="1500"/>
            <w:tcMar>
              <w:top w:type="dxa" w:w="60"/>
              <w:left w:type="dxa" w:w="90"/>
              <w:bottom w:type="dxa" w:w="60"/>
              <w:right w:type="dxa" w:w="90"/>
            </w:tcMar>
          </w:tcPr>
          <w:p>
            <w:pPr>
              <w:keepNext/>
              <w:spacing w:after="0" w:line="240"/>
              <w:jc w:val="left"/>
            </w:pP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Clustering</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4</w:t>
            </w:r>
          </w:p>
        </w:tc>
        <w:tc>
          <w:tcPr>
            <w:tcW w:type="dxa" w:w="54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k-means in Lab at k = 3, 4 and 5; mean shift with Otsu on a*</w:t>
            </w:r>
          </w:p>
        </w:tc>
      </w:tr>
      <w:tr>
        <w:trPr>
          <w:cantSplit/>
        </w:trPr>
        <w:tc>
          <w:tcPr>
            <w:tcW w:type="dxa" w:w="1500"/>
            <w:tcMar>
              <w:top w:type="dxa" w:w="60"/>
              <w:left w:type="dxa" w:w="90"/>
              <w:bottom w:type="dxa" w:w="60"/>
              <w:right w:type="dxa" w:w="90"/>
            </w:tcMar>
          </w:tcPr>
          <w:p>
            <w:pPr>
              <w:keepNext/>
              <w:spacing w:after="0" w:line="240"/>
              <w:jc w:val="left"/>
            </w:pP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Region and contour</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5</w:t>
            </w:r>
          </w:p>
        </w:tc>
        <w:tc>
          <w:tcPr>
            <w:tcW w:type="dxa" w:w="54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watershed, GrabCut, flood fill, Chan-Vese, Canny with fill</w:t>
            </w:r>
          </w:p>
        </w:tc>
      </w:tr>
      <w:tr>
        <w:trPr>
          <w:cantSplit/>
        </w:trPr>
        <w:tc>
          <w:tcPr>
            <w:tcW w:type="dxa" w:w="1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Trained (14)</w:t>
            </w: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Pixel classifiers</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3</w:t>
            </w:r>
          </w:p>
        </w:tc>
        <w:tc>
          <w:tcPr>
            <w:tcW w:type="dxa" w:w="54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logistic regression on all features and on colour only, gradient boosting</w:t>
            </w:r>
          </w:p>
        </w:tc>
      </w:tr>
      <w:tr>
        <w:trPr>
          <w:cantSplit/>
        </w:trPr>
        <w:tc>
          <w:tcPr>
            <w:tcW w:type="dxa" w:w="1500"/>
            <w:tcMar>
              <w:top w:type="dxa" w:w="60"/>
              <w:left w:type="dxa" w:w="90"/>
              <w:bottom w:type="dxa" w:w="60"/>
              <w:right w:type="dxa" w:w="90"/>
            </w:tcMar>
          </w:tcPr>
          <w:p>
            <w:pPr>
              <w:keepNext/>
              <w:spacing w:after="0" w:line="240"/>
              <w:jc w:val="left"/>
            </w:pPr>
          </w:p>
        </w:tc>
        <w:tc>
          <w:tcPr>
            <w:tcW w:type="dxa" w:w="1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Small CNN</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w:t>
            </w:r>
          </w:p>
        </w:tc>
        <w:tc>
          <w:tcPr>
            <w:tcW w:type="dxa" w:w="54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three-level U-Net, 117,681 parameters</w:t>
            </w:r>
          </w:p>
        </w:tc>
      </w:tr>
      <w:tr>
        <w:trPr>
          <w:cantSplit/>
        </w:trPr>
        <w:tc>
          <w:tcPr>
            <w:tcW w:type="dxa" w:w="1500"/>
            <w:tcMar>
              <w:top w:type="dxa" w:w="60"/>
              <w:left w:type="dxa" w:w="90"/>
              <w:bottom w:type="dxa" w:w="60"/>
              <w:right w:type="dxa" w:w="90"/>
            </w:tcMar>
          </w:tcPr>
          <w:p>
            <w:pPr>
              <w:keepNext w:val="false"/>
              <w:spacing w:after="0" w:line="240"/>
              <w:jc w:val="left"/>
            </w:pP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Modern architectures</w:t>
            </w:r>
          </w:p>
        </w:tc>
        <w:tc>
          <w:tcPr>
            <w:tcW w:type="dxa" w:w="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10</w:t>
            </w:r>
          </w:p>
        </w:tc>
        <w:tc>
          <w:tcPr>
            <w:tcW w:type="dxa" w:w="54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U-Net, U-Net++, DeepLabV3+, FPN, PSPNet, LinkNet, MA-Net on ResNet-18; U-Net on MobileNetV2 and EfficientNet-B0; SegFormer on MiT-B0</w:t>
            </w:r>
          </w:p>
        </w:tc>
      </w:tr>
    </w:tbl>
    <w:p>
      <w:pPr>
        <w:spacing w:after="100" w:line="276"/>
        <w:jc w:val="both"/>
      </w:pPr>
      <w:r>
        <w:rPr>
          <w:rFonts w:ascii="Times New Roman" w:cs="Times New Roman" w:eastAsia="Times New Roman" w:hAnsi="Times New Roman"/>
          <w:color w:val="000000"/>
          <w:sz w:val="22"/>
          <w:szCs w:val="22"/>
        </w:rPr>
        <w:t xml:space="preserve">The 18 untrained methods have no learned parameters and therefore no dependence on any dataset. The 14 trained methods are all trained on FUSeg training images. The three pixel classifiers are fitted on 264,292 pixels sampled from FUSeg training images 0 to 249, balanced between lesion and background. The small U-Net and the ten modern architectures are trained on images 0 to 392 at 128 by 128 pixels.</w:t>
      </w:r>
    </w:p>
    <w:p>
      <w:pPr>
        <w:spacing w:after="140" w:line="276"/>
        <w:jc w:val="both"/>
      </w:pPr>
      <w:r>
        <w:rPr>
          <w:rFonts w:ascii="Times New Roman" w:cs="Times New Roman" w:eastAsia="Times New Roman" w:hAnsi="Times New Roman"/>
          <w:color w:val="000000"/>
          <w:sz w:val="22"/>
          <w:szCs w:val="22"/>
        </w:rPr>
        <w:t xml:space="preserve">The ten modern architectures come from segmentation_models_pytorch (Iakubovskii, 2019) and were chosen to vary along the two axes along which segmentation networks usually vary: seven decoders share one ResNet-18 encoder (Ronneberger et al., 2015; Zhou et al., 2018; Chen et al., 2018; Lin et al., 2017; Zhao et al., 2017; Chaurasia and Culurciello, 2017; Fan et al., 2020; He et al., 2016), and three alternative encoders include a transformer (Sandler et al., 2018; Tan and Le, 2019; Xie et al., 2021). </w:t>
      </w:r>
      <w:r>
        <w:rPr>
          <w:rFonts w:ascii="Times New Roman" w:cs="Times New Roman" w:eastAsia="Times New Roman" w:hAnsi="Times New Roman"/>
          <w:b/>
          <w:bCs/>
          <w:color w:val="000000"/>
          <w:sz w:val="22"/>
          <w:szCs w:val="22"/>
        </w:rPr>
        <w:t xml:space="preserve">No pretrained weights are used anywhere.</w:t>
      </w:r>
      <w:r>
        <w:rPr>
          <w:rFonts w:ascii="Times New Roman" w:cs="Times New Roman" w:eastAsia="Times New Roman" w:hAnsi="Times New Roman"/>
          <w:color w:val="000000"/>
          <w:sz w:val="22"/>
          <w:szCs w:val="22"/>
        </w:rPr>
        <w:t xml:space="preserve"> Every architecture is randomly initialised, so no method carries knowledge of an external dataset. All ten share one protocol copied from the small U-Net: Dice plus binary cross-entropy, Adam, horizontal flips, batch size 8, 30 epochs. The one deliberate difference is a learning rate of 1e-3 rather than 3e-3, because 3e-3 was unstable for models of 14 to 22 million parameters.</w:t>
      </w:r>
    </w:p>
    <w:p>
      <w:pPr>
        <w:pStyle w:val="Heading2"/>
        <w:keepNext/>
        <w:spacing w:after="120" w:before="260"/>
      </w:pPr>
      <w:r>
        <w:rPr>
          <w:rFonts w:ascii="Times New Roman" w:cs="Times New Roman" w:eastAsia="Times New Roman" w:hAnsi="Times New Roman"/>
          <w:b/>
          <w:bCs/>
          <w:color w:val="000000"/>
          <w:sz w:val="23"/>
          <w:szCs w:val="23"/>
        </w:rPr>
        <w:t xml:space="preserve">3.2 Decision thresholds</w:t>
      </w:r>
    </w:p>
    <w:p>
      <w:pPr>
        <w:spacing w:after="140" w:line="276"/>
        <w:jc w:val="both"/>
      </w:pPr>
      <w:r>
        <w:rPr>
          <w:rFonts w:ascii="Times New Roman" w:cs="Times New Roman" w:eastAsia="Times New Roman" w:hAnsi="Times New Roman"/>
          <w:color w:val="000000"/>
          <w:sz w:val="22"/>
          <w:szCs w:val="22"/>
        </w:rPr>
        <w:t xml:space="preserve">Each group of trained methods has its own threshold protocol, and every sweep uses images disjoint from the images the methods were fitted on and from every evaluation set. The three pixel classifiers share one decision threshold, 0.90, selected by sweeping on FUSeg training images 250 to 399, which are disjoint from the 250 images they were fitted on. The small U-Net uses a fixed threshold of 0.5 with no sweep. Each of the ten modern architectures has its own threshold, between 0.10 and 0.45, selected on FUSeg training images 400 to 549. Held-out Dice at the selected threshold ranges from 0.507 to 0.641 across the ten, so the pool has real spread.</w:t>
      </w:r>
    </w:p>
    <w:p>
      <w:pPr>
        <w:pStyle w:val="Heading2"/>
        <w:keepNext/>
        <w:spacing w:after="120" w:before="260"/>
      </w:pPr>
      <w:r>
        <w:rPr>
          <w:rFonts w:ascii="Times New Roman" w:cs="Times New Roman" w:eastAsia="Times New Roman" w:hAnsi="Times New Roman"/>
          <w:b/>
          <w:bCs/>
          <w:color w:val="000000"/>
          <w:sz w:val="23"/>
          <w:szCs w:val="23"/>
        </w:rPr>
        <w:t xml:space="preserve">3.3 Clinical reference sets</w:t>
      </w:r>
    </w:p>
    <w:p>
      <w:pPr>
        <w:keepNext/>
        <w:spacing w:after="90" w:before="20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Clinical reference sets. Lesion fraction is the median over images of the share of pixels inside the ground-truth mask.</w:t>
      </w:r>
    </w:p>
    <w:tbl>
      <w:tblPr>
        <w:tblW w:type="dxa" w:w="9360"/>
        <w:tblBorders>
          <w:top w:val="single" w:color="8C8C8C" w:sz="8"/>
          <w:left w:val="none"/>
          <w:bottom w:val="single" w:color="8C8C8C" w:sz="8"/>
          <w:right w:val="none"/>
          <w:insideH w:val="single" w:color="CFCFCF" w:sz="2"/>
          <w:insideV w:val="none"/>
        </w:tblBorders>
      </w:tblPr>
      <w:tblGrid>
        <w:gridCol w:w="2350"/>
        <w:gridCol w:w="1800"/>
        <w:gridCol w:w="1750"/>
        <w:gridCol w:w="650"/>
        <w:gridCol w:w="1050"/>
        <w:gridCol w:w="1760"/>
      </w:tblGrid>
      <w:tr>
        <w:trPr>
          <w:tblHeader/>
        </w:trPr>
        <w:tc>
          <w:tcPr>
            <w:tcW w:type="dxa" w:w="23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Reference</w:t>
            </w:r>
          </w:p>
        </w:tc>
        <w:tc>
          <w:tcPr>
            <w:tcW w:type="dxa" w:w="18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Modality</w:t>
            </w:r>
          </w:p>
        </w:tc>
        <w:tc>
          <w:tcPr>
            <w:tcW w:type="dxa" w:w="17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Source</w:t>
            </w:r>
          </w:p>
        </w:tc>
        <w:tc>
          <w:tcPr>
            <w:tcW w:type="dxa" w:w="6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n</w:t>
            </w:r>
          </w:p>
        </w:tc>
        <w:tc>
          <w:tcPr>
            <w:tcW w:type="dxa" w:w="10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Empty GT</w:t>
            </w:r>
          </w:p>
        </w:tc>
        <w:tc>
          <w:tcPr>
            <w:tcW w:type="dxa" w:w="17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Lesion fraction</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archive</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152</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0.098</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 (validation)</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4</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0.008</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(test)</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0.019</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train slice (control)</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8</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0.016</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0.128</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Kvasir-sessile</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0.043</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CVC-ClinicDB</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0.067</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CVC-ColonDB</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0.038</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ETIS-Larib</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 Paris</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0.020</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PH2</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Dermoscopy</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Porto</w:t>
            </w:r>
          </w:p>
        </w:tc>
        <w:tc>
          <w:tcPr>
            <w:tcW w:type="dxa" w:w="6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0.231</w:t>
            </w:r>
          </w:p>
        </w:tc>
      </w:tr>
      <w:tr>
        <w:trPr>
          <w:cantSplit/>
        </w:trPr>
        <w:tc>
          <w:tcPr>
            <w:tcW w:type="dxa" w:w="23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 (test)</w:t>
            </w:r>
          </w:p>
        </w:tc>
        <w:tc>
          <w:tcPr>
            <w:tcW w:type="dxa" w:w="18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Thyroid ultrasound</w:t>
            </w:r>
          </w:p>
        </w:tc>
        <w:tc>
          <w:tcPr>
            <w:tcW w:type="dxa" w:w="17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w:t>
            </w:r>
          </w:p>
        </w:tc>
        <w:tc>
          <w:tcPr>
            <w:tcW w:type="dxa" w:w="6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0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7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0.066</w:t>
            </w:r>
          </w:p>
        </w:tc>
      </w:tr>
    </w:tbl>
    <w:p>
      <w:pPr>
        <w:spacing w:after="100" w:line="276"/>
        <w:jc w:val="both"/>
      </w:pPr>
      <w:r>
        <w:rPr>
          <w:rFonts w:ascii="Times New Roman" w:cs="Times New Roman" w:eastAsia="Times New Roman" w:hAnsi="Times New Roman"/>
          <w:color w:val="000000"/>
          <w:sz w:val="22"/>
          <w:szCs w:val="22"/>
        </w:rPr>
        <w:t xml:space="preserve">The wound references are Medetec (Medetec, 2014), the FUSeg challenge validation set (Wang et al., 2024) and the AZH chronic wound dataset (Wang et al., 2020). FUSeg was built from AZH Wound and Vascular Center images, so the two are treated as one source. Template matching of 25 AZH patches against all 1,010 FUSeg frames at six scales gave a maximum normalised cross-correlation of 0.927 with no exact match, so they are distinct images under different crops. The AZH train slice is a disjoint slice of the same dataset as AZH test and serves only as the within-dataset control.</w:t>
      </w:r>
    </w:p>
    <w:p>
      <w:pPr>
        <w:spacing w:after="100" w:line="276"/>
        <w:jc w:val="both"/>
      </w:pPr>
      <w:r>
        <w:rPr>
          <w:rFonts w:ascii="Times New Roman" w:cs="Times New Roman" w:eastAsia="Times New Roman" w:hAnsi="Times New Roman"/>
          <w:color w:val="000000"/>
          <w:sz w:val="22"/>
          <w:szCs w:val="22"/>
        </w:rPr>
        <w:t xml:space="preserve">The colonoscopy references are Kvasir-SEG (Jha et al., 2020) and its sessile subset, CVC-ClinicDB (Bernal et al., 2015), CVC-ColonDB (Bernal et al., 2012) and ETIS-LaribPolypDB (Silva et al., 2014). The sessile images are a subset of Kvasir-SEG, so the Kvasir reference was drawn only from images outside that subset; the two Kvasir references share no image. CVC-ClinicDB and CVC-ColonDB come from one research group and are treated as one source. The dermoscopy reference is PH2 (Mendonça et al., 2013) and the ultrasound reference is the TN3K test split (Gong et al., 2021). Content comparison found no overlap between any colonoscopy set and Kvasir-SEG.</w:t>
      </w:r>
    </w:p>
    <w:p>
      <w:pPr>
        <w:spacing w:after="140" w:line="276"/>
        <w:jc w:val="both"/>
      </w:pPr>
      <w:r>
        <w:rPr>
          <w:rFonts w:ascii="Times New Roman" w:cs="Times New Roman" w:eastAsia="Times New Roman" w:hAnsi="Times New Roman"/>
          <w:color w:val="000000"/>
          <w:sz w:val="22"/>
          <w:szCs w:val="22"/>
        </w:rPr>
        <w:t xml:space="preserve">For the five new references, 150 pairs were taken evenly spaced over the sorted file list, with numeric frame names sorted numerically. The colonoscopy sets are video frames and consecutive frames are nearly identical, so taking the first 150 would have covered only a few sequences. Masks are binarised on any non-zero value for the wound sets, whose masks are 0 and 1 or 0 and 255, and above 127 for all other sets, whose masks are anti-aliased or JPEG-compressed. All non-wound images are resampled so the long side is at most 256 pixels.</w:t>
      </w:r>
    </w:p>
    <w:p>
      <w:pPr>
        <w:pStyle w:val="Heading2"/>
        <w:keepNext/>
        <w:spacing w:after="120" w:before="260"/>
      </w:pPr>
      <w:r>
        <w:rPr>
          <w:rFonts w:ascii="Times New Roman" w:cs="Times New Roman" w:eastAsia="Times New Roman" w:hAnsi="Times New Roman"/>
          <w:b/>
          <w:bCs/>
          <w:color w:val="000000"/>
          <w:sz w:val="23"/>
          <w:szCs w:val="23"/>
        </w:rPr>
        <w:t xml:space="preserve">3.4 Synthetic benchmarks</w:t>
      </w:r>
    </w:p>
    <w:p>
      <w:pPr>
        <w:spacing w:after="100" w:line="276"/>
        <w:jc w:val="both"/>
      </w:pPr>
      <w:r>
        <w:rPr>
          <w:rFonts w:ascii="Times New Roman" w:cs="Times New Roman" w:eastAsia="Times New Roman" w:hAnsi="Times New Roman"/>
          <w:color w:val="000000"/>
          <w:sz w:val="22"/>
          <w:szCs w:val="22"/>
        </w:rPr>
        <w:t xml:space="preserve">Three generator families produce wound images with ground-truth masks and expose their design properties as explicit parameters. Parametric generators are used rather than a learned generative model because the experiments require individual properties to be switched off and swept independently. Generator A places a lesion on a uniform drape. Generator B renders textured skin with a shared luminance mottling field, a calibrated tissue palette and clutter such as hair and gauze; its texture amplitude is a swept parameter. Generator C shares no code with generator B and differs in every mechanism: spectral-filtered noise, a radial vignette, distance-field alpha blending and a CIELAB Gaussian mixture for tissue colour. The three were written by the same authors, so we describe them as built on different principles rather than as independent. Each benchmark contains 45 images, 15 per wound class.</w:t>
      </w:r>
    </w:p>
    <w:p>
      <w:pPr>
        <w:spacing w:after="140" w:line="276"/>
        <w:jc w:val="both"/>
      </w:pPr>
      <w:r>
        <w:rPr>
          <w:rFonts w:ascii="Times New Roman" w:cs="Times New Roman" w:eastAsia="Times New Roman" w:hAnsi="Times New Roman"/>
          <w:color w:val="000000"/>
          <w:sz w:val="22"/>
          <w:szCs w:val="22"/>
        </w:rPr>
        <w:t xml:space="preserve">The background texture statistic is the median local standard deviation of shading-corrected luminance in a 9-pixel window over background pixels, measured after resampling every image to 512 pixels. Without the resampling, Medetec at 224 pixels and FUSeg at 512 pixels change order on the statistic.</w:t>
      </w:r>
    </w:p>
    <w:p>
      <w:pPr>
        <w:pStyle w:val="Heading2"/>
        <w:keepNext/>
        <w:spacing w:after="120" w:before="260"/>
      </w:pPr>
      <w:r>
        <w:rPr>
          <w:rFonts w:ascii="Times New Roman" w:cs="Times New Roman" w:eastAsia="Times New Roman" w:hAnsi="Times New Roman"/>
          <w:b/>
          <w:bCs/>
          <w:color w:val="000000"/>
          <w:sz w:val="23"/>
          <w:szCs w:val="23"/>
        </w:rPr>
        <w:t xml:space="preserve">3.5 Agreement, levels and statistics</w:t>
      </w:r>
    </w:p>
    <w:p>
      <w:pPr>
        <w:spacing w:after="100" w:line="276"/>
        <w:jc w:val="both"/>
      </w:pPr>
      <w:r>
        <w:rPr>
          <w:rFonts w:ascii="Times New Roman" w:cs="Times New Roman" w:eastAsia="Times New Roman" w:hAnsi="Times New Roman"/>
          <w:color w:val="000000"/>
          <w:sz w:val="22"/>
          <w:szCs w:val="22"/>
        </w:rPr>
        <w:t xml:space="preserve">Agreement between two image sets is the Spearman correlation between their vectors of per-method mean scores over the same pool. Pair-level p-values use 20,000 permutations and confidence intervals use 5,000 bootstrap resamples over methods. At n = 32 a Spearman needs roughly |rho| of 0.35 to reach p below 0.05, so an absence of agreement is reported as an absence of detectable agreement.</w:t>
      </w:r>
    </w:p>
    <w:p>
      <w:pPr>
        <w:spacing w:after="100" w:line="276"/>
        <w:jc w:val="both"/>
      </w:pPr>
      <w:r>
        <w:rPr>
          <w:rFonts w:ascii="Times New Roman" w:cs="Times New Roman" w:eastAsia="Times New Roman" w:hAnsi="Times New Roman"/>
          <w:color w:val="000000"/>
          <w:sz w:val="22"/>
          <w:szCs w:val="22"/>
        </w:rPr>
        <w:t xml:space="preserve">Every pair of references is assigned to one of four levels, defined once and used throughout: </w:t>
      </w:r>
      <w:r>
        <w:rPr>
          <w:rFonts w:ascii="Times New Roman" w:cs="Times New Roman" w:eastAsia="Times New Roman" w:hAnsi="Times New Roman"/>
          <w:b/>
          <w:bCs/>
          <w:color w:val="000000"/>
          <w:sz w:val="22"/>
          <w:szCs w:val="22"/>
        </w:rPr>
        <w:t xml:space="preserve">within dataset</w:t>
      </w:r>
      <w:r>
        <w:rPr>
          <w:rFonts w:ascii="Times New Roman" w:cs="Times New Roman" w:eastAsia="Times New Roman" w:hAnsi="Times New Roman"/>
          <w:color w:val="000000"/>
          <w:sz w:val="22"/>
          <w:szCs w:val="22"/>
        </w:rPr>
        <w:t xml:space="preserve">, two disjoint slices of one dataset; </w:t>
      </w:r>
      <w:r>
        <w:rPr>
          <w:rFonts w:ascii="Times New Roman" w:cs="Times New Roman" w:eastAsia="Times New Roman" w:hAnsi="Times New Roman"/>
          <w:b/>
          <w:bCs/>
          <w:color w:val="000000"/>
          <w:sz w:val="22"/>
          <w:szCs w:val="22"/>
        </w:rPr>
        <w:t xml:space="preserve">within source</w:t>
      </w:r>
      <w:r>
        <w:rPr>
          <w:rFonts w:ascii="Times New Roman" w:cs="Times New Roman" w:eastAsia="Times New Roman" w:hAnsi="Times New Roman"/>
          <w:color w:val="000000"/>
          <w:sz w:val="22"/>
          <w:szCs w:val="22"/>
        </w:rPr>
        <w:t xml:space="preserve">, two references from one clinic or research group that share no images; </w:t>
      </w:r>
      <w:r>
        <w:rPr>
          <w:rFonts w:ascii="Times New Roman" w:cs="Times New Roman" w:eastAsia="Times New Roman" w:hAnsi="Times New Roman"/>
          <w:b/>
          <w:bCs/>
          <w:color w:val="000000"/>
          <w:sz w:val="22"/>
          <w:szCs w:val="22"/>
        </w:rPr>
        <w:t xml:space="preserve">within modality</w:t>
      </w:r>
      <w:r>
        <w:rPr>
          <w:rFonts w:ascii="Times New Roman" w:cs="Times New Roman" w:eastAsia="Times New Roman" w:hAnsi="Times New Roman"/>
          <w:color w:val="000000"/>
          <w:sz w:val="22"/>
          <w:szCs w:val="22"/>
        </w:rPr>
        <w:t xml:space="preserve">, references of one modality from different sources; and </w:t>
      </w:r>
      <w:r>
        <w:rPr>
          <w:rFonts w:ascii="Times New Roman" w:cs="Times New Roman" w:eastAsia="Times New Roman" w:hAnsi="Times New Roman"/>
          <w:b/>
          <w:bCs/>
          <w:color w:val="000000"/>
          <w:sz w:val="22"/>
          <w:szCs w:val="22"/>
        </w:rPr>
        <w:t xml:space="preserve">across modality</w:t>
      </w:r>
      <w:r>
        <w:rPr>
          <w:rFonts w:ascii="Times New Roman" w:cs="Times New Roman" w:eastAsia="Times New Roman" w:hAnsi="Times New Roman"/>
          <w:color w:val="000000"/>
          <w:sz w:val="22"/>
          <w:szCs w:val="22"/>
        </w:rPr>
        <w:t xml:space="preserve">.</w:t>
      </w:r>
    </w:p>
    <w:p>
      <w:pPr>
        <w:spacing w:after="100" w:line="276"/>
        <w:jc w:val="both"/>
      </w:pPr>
      <w:r>
        <w:rPr>
          <w:rFonts w:ascii="Times New Roman" w:cs="Times New Roman" w:eastAsia="Times New Roman" w:hAnsi="Times New Roman"/>
          <w:color w:val="000000"/>
          <w:sz w:val="22"/>
          <w:szCs w:val="22"/>
        </w:rPr>
        <w:t xml:space="preserve">Pairs of references share references, so pair-level tests overstate the evidence for differences between levels. The difference between mean same-modality agreement and mean across-modality agreement is therefore tested by permuting the modality labels over the ten non-control references, exactly, over all 5,040 distinct relabelings.</w:t>
      </w:r>
    </w:p>
    <w:p>
      <w:pPr>
        <w:spacing w:after="100" w:line="276"/>
        <w:jc w:val="both"/>
      </w:pPr>
      <w:r>
        <w:rPr>
          <w:rFonts w:ascii="Times New Roman" w:cs="Times New Roman" w:eastAsia="Times New Roman" w:hAnsi="Times New Roman"/>
          <w:color w:val="000000"/>
          <w:sz w:val="22"/>
          <w:szCs w:val="22"/>
        </w:rPr>
        <w:t xml:space="preserve">Every result is computed under Dice and under normalised surface Dice at a tolerance of 2 pixels (Nikolov et al., 2018). Both treat two empty masks as perfect agreement. Because 2.7 to 6.7 percent of images in three wound references have empty ground truth (Table 2), every agreement is also recomputed with those images excluded. Results are reported for the full pool and separately for the 18 untrained and 14 trained methods. Synthetic benchmarks are built at four generator seeds for the framing analysis and three for the validity decomposition; single-seed results are not reported as findings.</w:t>
      </w:r>
    </w:p>
    <w:p>
      <w:pPr>
        <w:spacing w:after="140" w:line="276"/>
        <w:jc w:val="both"/>
      </w:pPr>
      <w:r>
        <w:rPr>
          <w:rFonts w:ascii="Times New Roman" w:cs="Times New Roman" w:eastAsia="Times New Roman" w:hAnsi="Times New Roman"/>
          <w:color w:val="000000"/>
          <w:sz w:val="22"/>
          <w:szCs w:val="22"/>
        </w:rPr>
        <w:t xml:space="preserve">A reference's preference over lesion-to-surround contrast is the ordinary least squares slope of its agreement with a synthetic benchmark against that benchmark's measured saturation contrast, over seven contrast levels, per 10 saturation units. An earlier version used the Spearman correlation of agreement against contrast, which saturates at plus or minus 1 once the relationship is monotone; the slope does not saturate.</w:t>
      </w:r>
    </w:p>
    <w:p>
      <w:pPr>
        <w:pStyle w:val="Heading1"/>
        <w:keepNext/>
        <w:spacing w:after="160" w:before="360"/>
      </w:pPr>
      <w:r>
        <w:rPr>
          <w:rFonts w:ascii="Times New Roman" w:cs="Times New Roman" w:eastAsia="Times New Roman" w:hAnsi="Times New Roman"/>
          <w:b/>
          <w:bCs/>
          <w:color w:val="000000"/>
          <w:sz w:val="26"/>
          <w:szCs w:val="26"/>
        </w:rPr>
        <w:t xml:space="preserve">4. Results</w:t>
      </w:r>
    </w:p>
    <w:p>
      <w:pPr>
        <w:pStyle w:val="Heading2"/>
        <w:keepNext/>
        <w:spacing w:after="120" w:before="260"/>
      </w:pPr>
      <w:r>
        <w:rPr>
          <w:rFonts w:ascii="Times New Roman" w:cs="Times New Roman" w:eastAsia="Times New Roman" w:hAnsi="Times New Roman"/>
          <w:b/>
          <w:bCs/>
          <w:color w:val="000000"/>
          <w:sz w:val="23"/>
          <w:szCs w:val="23"/>
        </w:rPr>
        <w:t xml:space="preserve">4.1 Agreement between clinical references is organised by modality</w:t>
      </w:r>
    </w:p>
    <w:p>
      <w:pPr>
        <w:keepNext/>
        <w:spacing w:after="90" w:before="20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Mean agreement by level, Dice and normalised surface Dice (NSD), all images.</w:t>
      </w:r>
    </w:p>
    <w:tbl>
      <w:tblPr>
        <w:tblW w:type="dxa" w:w="9360"/>
        <w:tblBorders>
          <w:top w:val="single" w:color="8C8C8C" w:sz="8"/>
          <w:left w:val="none"/>
          <w:bottom w:val="single" w:color="8C8C8C" w:sz="8"/>
          <w:right w:val="none"/>
          <w:insideH w:val="single" w:color="CFCFCF" w:sz="2"/>
          <w:insideV w:val="none"/>
        </w:tblBorders>
      </w:tblPr>
      <w:tblGrid>
        <w:gridCol w:w="1800"/>
        <w:gridCol w:w="700"/>
        <w:gridCol w:w="1050"/>
        <w:gridCol w:w="1300"/>
        <w:gridCol w:w="1250"/>
        <w:gridCol w:w="1050"/>
        <w:gridCol w:w="1050"/>
        <w:gridCol w:w="1160"/>
      </w:tblGrid>
      <w:tr>
        <w:trPr>
          <w:tblHeader/>
        </w:trPr>
        <w:tc>
          <w:tcPr>
            <w:tcW w:type="dxa" w:w="18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Level</w:t>
            </w:r>
          </w:p>
        </w:tc>
        <w:tc>
          <w:tcPr>
            <w:tcW w:type="dxa" w:w="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Pairs</w:t>
            </w:r>
          </w:p>
        </w:tc>
        <w:tc>
          <w:tcPr>
            <w:tcW w:type="dxa" w:w="10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Dice, 32</w:t>
            </w:r>
          </w:p>
        </w:tc>
        <w:tc>
          <w:tcPr>
            <w:tcW w:type="dxa" w:w="13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Dice, 18 untrained</w:t>
            </w:r>
          </w:p>
        </w:tc>
        <w:tc>
          <w:tcPr>
            <w:tcW w:type="dxa" w:w="12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Dice, 14 trained</w:t>
            </w:r>
          </w:p>
        </w:tc>
        <w:tc>
          <w:tcPr>
            <w:tcW w:type="dxa" w:w="10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NSD, 32</w:t>
            </w:r>
          </w:p>
        </w:tc>
        <w:tc>
          <w:tcPr>
            <w:tcW w:type="dxa" w:w="10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NSD, 18</w:t>
            </w:r>
          </w:p>
        </w:tc>
        <w:tc>
          <w:tcPr>
            <w:tcW w:type="dxa" w:w="11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NSD, 14</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Within dataset</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+0.944</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+0.973</w:t>
            </w:r>
          </w:p>
        </w:tc>
        <w:tc>
          <w:tcPr>
            <w:tcW w:type="dxa" w:w="12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+0.947</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+0.960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+0.979</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+0.908</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Within source</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3</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+0.857</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+0.689</w:t>
            </w:r>
          </w:p>
        </w:tc>
        <w:tc>
          <w:tcPr>
            <w:tcW w:type="dxa" w:w="12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+0.648</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+0.898</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+0.855</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+0.927</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Within modality</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+0.811</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+0.790</w:t>
            </w:r>
          </w:p>
        </w:tc>
        <w:tc>
          <w:tcPr>
            <w:tcW w:type="dxa" w:w="12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+0.732</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+0.773</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+0.756</w:t>
            </w:r>
          </w:p>
        </w:tc>
        <w:tc>
          <w:tcPr>
            <w:tcW w:type="dxa" w:w="1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+0.723</w:t>
            </w:r>
          </w:p>
        </w:tc>
      </w:tr>
      <w:tr>
        <w:trPr>
          <w:cantSplit/>
        </w:trPr>
        <w:tc>
          <w:tcPr>
            <w:tcW w:type="dxa" w:w="18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Across modality</w:t>
            </w:r>
          </w:p>
        </w:tc>
        <w:tc>
          <w:tcPr>
            <w:tcW w:type="dxa" w:w="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32</w:t>
            </w:r>
          </w:p>
        </w:tc>
        <w:tc>
          <w:tcPr>
            <w:tcW w:type="dxa" w:w="10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-0.091</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+0.020</w:t>
            </w:r>
          </w:p>
        </w:tc>
        <w:tc>
          <w:tcPr>
            <w:tcW w:type="dxa" w:w="12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+0.040</w:t>
            </w:r>
          </w:p>
        </w:tc>
        <w:tc>
          <w:tcPr>
            <w:tcW w:type="dxa" w:w="10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+0.032</w:t>
            </w:r>
          </w:p>
        </w:tc>
        <w:tc>
          <w:tcPr>
            <w:tcW w:type="dxa" w:w="10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+0.281</w:t>
            </w:r>
          </w:p>
        </w:tc>
        <w:tc>
          <w:tcPr>
            <w:tcW w:type="dxa" w:w="11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+0.005</w:t>
            </w:r>
          </w:p>
        </w:tc>
      </w:tr>
    </w:tbl>
    <w:p>
      <w:pPr>
        <w:spacing w:after="140" w:line="276"/>
        <w:jc w:val="both"/>
      </w:pPr>
      <w:r>
        <w:rPr>
          <w:rFonts w:ascii="Times New Roman" w:cs="Times New Roman" w:eastAsia="Times New Roman" w:hAnsi="Times New Roman"/>
          <w:color w:val="000000"/>
          <w:sz w:val="22"/>
          <w:szCs w:val="22"/>
        </w:rPr>
        <w:t xml:space="preserve">Agreement within a modality exceeds agreement across modalities in every pool and under both metrics. The exact permutation test gives a same-modality minus across-modality difference under Dice of 0.912 for all 32 methods, 0.746 for the untrained pool and 0.673 for the trained pool (p of 0.0004, 0.0004 and 0.0040), and under NSD of 0.770, 0.498 and 0.765 (each p = 0.0004). Excluding images with empty ground truth leaves every difference significant (Dice: 0.835, 0.750 and 0.666, p at most 0.0036).</w:t>
      </w:r>
    </w:p>
    <w:p>
      <w:pPr>
        <w:spacing w:after="140" w:line="276"/>
        <w:jc w:val="both"/>
      </w:pPr>
      <w:r>
        <w:rPr>
          <w:rFonts w:ascii="Times New Roman" w:cs="Times New Roman" w:eastAsia="Times New Roman" w:hAnsi="Times New Roman"/>
          <w:color w:val="000000"/>
          <w:sz w:val="22"/>
          <w:szCs w:val="22"/>
        </w:rPr>
        <w:t xml:space="preserve">The within-dataset control reproduces itself at 0.944, so values well below it reflect disagreement between references rather than noise in the measurement. The boundary that matters is modality, not source. Colonoscopy references from three independent sources agree at 0.80 to 0.95 over all 32 methods and 0.70 to 0.94 over the untrained pool, as high as two curations of one source (Kvasir and its sessile subset, 0.950; the two CVC sets, 0.961).</w:t>
      </w:r>
    </w:p>
    <w:p>
      <w:pPr>
        <w:spacing w:after="140" w:line="276"/>
        <w:jc w:val="both"/>
      </w:pPr>
      <w:r>
        <w:rPr>
          <w:rFonts w:ascii="Times New Roman" w:cs="Times New Roman" w:eastAsia="Times New Roman" w:hAnsi="Times New Roman"/>
          <w:color w:val="000000"/>
          <w:sz w:val="22"/>
          <w:szCs w:val="22"/>
        </w:rPr>
        <w:t xml:space="preserve">Wound photography is the exception within modality. Among untrained methods the three wound references agree at 0.74 (Medetec and FUSeg), 0.49 (Medetec and AZH) and 0.15 (FUSeg and AZH), and among trained methods at -0.04, 0.48 and 0.03. Under NSD, wound-to-wound agreement among untrained methods rises to 0.79, close to the colonoscopy level, which points to the region-size sensitivity of Dice combined with very different lesion fractions (0.008 to 0.098) as a large part of the disagreement. Among trained methods, NSD agreement stays at 0.40. Notably, FUSeg and AZH come from one clinic yet are the least similar wound pair among untrained methods (0.15) and agree at only 0.03 among trained methods; their agreement of 0.66 over all 32 methods is produced by pooling, as Section 4.2 explains.</w:t>
      </w:r>
    </w:p>
    <w:p>
      <w:pPr>
        <w:keepNext/>
        <w:spacing w:after="80" w:before="22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8597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1. </w:t>
      </w:r>
      <w:r>
        <w:rPr>
          <w:rFonts w:ascii="Times New Roman" w:cs="Times New Roman" w:eastAsia="Times New Roman" w:hAnsi="Times New Roman"/>
          <w:color w:val="3F3F3F"/>
          <w:sz w:val="19"/>
          <w:szCs w:val="19"/>
        </w:rPr>
        <w:t xml:space="preserve">Agreement between the ten clinical references under Dice, for the full pool and for each homogeneous pool. Black lines separate modalities (wound photography, colonoscopy, dermoscopy, thyroid ultrasound). Purple is positive and orange negative. Every value is listed in Appendix Table A1.</w:t>
      </w:r>
    </w:p>
    <w:p>
      <w:pPr>
        <w:pStyle w:val="Heading2"/>
        <w:keepNext/>
        <w:spacing w:after="120" w:before="260"/>
      </w:pPr>
      <w:r>
        <w:rPr>
          <w:rFonts w:ascii="Times New Roman" w:cs="Times New Roman" w:eastAsia="Times New Roman" w:hAnsi="Times New Roman"/>
          <w:b/>
          <w:bCs/>
          <w:color w:val="000000"/>
          <w:sz w:val="23"/>
          <w:szCs w:val="23"/>
        </w:rPr>
        <w:t xml:space="preserve">4.2 Mixing trained and untrained methods manufactures structure in both directions</w:t>
      </w:r>
    </w:p>
    <w:p>
      <w:pPr>
        <w:spacing w:after="140" w:line="276"/>
        <w:jc w:val="both"/>
      </w:pPr>
      <w:r>
        <w:rPr>
          <w:rFonts w:ascii="Times New Roman" w:cs="Times New Roman" w:eastAsia="Times New Roman" w:hAnsi="Times New Roman"/>
          <w:color w:val="000000"/>
          <w:sz w:val="22"/>
          <w:szCs w:val="22"/>
        </w:rPr>
        <w:t xml:space="preserve">The across-modality pairs in Figure 1 are not homogeneous. Over all 32 methods, FUSeg and AZH are negatively correlated with every non-wound reference (-0.20 to -0.74), Medetec is close to zero with most of them, and the non-wound modalities agree with each other. Table 4 splits the pairs by whether they cross the boundary of the trained methods' domain.</w:t>
      </w:r>
    </w:p>
    <w:p>
      <w:pPr>
        <w:keepNext/>
        <w:spacing w:after="90" w:before="20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Mean agreement by category of pair, Dice, all images. NSD values follow in parentheses.</w:t>
      </w:r>
    </w:p>
    <w:tbl>
      <w:tblPr>
        <w:tblW w:type="dxa" w:w="9360"/>
        <w:tblBorders>
          <w:top w:val="single" w:color="8C8C8C" w:sz="8"/>
          <w:left w:val="none"/>
          <w:bottom w:val="single" w:color="8C8C8C" w:sz="8"/>
          <w:right w:val="none"/>
          <w:insideH w:val="single" w:color="CFCFCF" w:sz="2"/>
          <w:insideV w:val="none"/>
        </w:tblBorders>
      </w:tblPr>
      <w:tblGrid>
        <w:gridCol w:w="3000"/>
        <w:gridCol w:w="800"/>
        <w:gridCol w:w="1850"/>
        <w:gridCol w:w="1850"/>
        <w:gridCol w:w="1860"/>
      </w:tblGrid>
      <w:tr>
        <w:trPr>
          <w:tblHeader/>
        </w:trPr>
        <w:tc>
          <w:tcPr>
            <w:tcW w:type="dxa" w:w="30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Category</w:t>
            </w:r>
          </w:p>
        </w:tc>
        <w:tc>
          <w:tcPr>
            <w:tcW w:type="dxa" w:w="8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Pairs</w:t>
            </w:r>
          </w:p>
        </w:tc>
        <w:tc>
          <w:tcPr>
            <w:tcW w:type="dxa" w:w="1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All 32</w:t>
            </w:r>
          </w:p>
        </w:tc>
        <w:tc>
          <w:tcPr>
            <w:tcW w:type="dxa" w:w="1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18 untrained</w:t>
            </w:r>
          </w:p>
        </w:tc>
        <w:tc>
          <w:tcPr>
            <w:tcW w:type="dxa" w:w="18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14 trained</w:t>
            </w:r>
          </w:p>
        </w:tc>
      </w:tr>
      <w:tr>
        <w:trPr>
          <w:cantSplit/>
        </w:trPr>
        <w:tc>
          <w:tcPr>
            <w:tcW w:type="dxa" w:w="3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with wound</w:t>
            </w:r>
          </w:p>
        </w:tc>
        <w:tc>
          <w:tcPr>
            <w:tcW w:type="dxa" w:w="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3</w:t>
            </w:r>
          </w:p>
        </w:tc>
        <w:tc>
          <w:tcPr>
            <w:tcW w:type="dxa" w:w="1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+0.563 (+0.608)</w:t>
            </w:r>
          </w:p>
        </w:tc>
        <w:tc>
          <w:tcPr>
            <w:tcW w:type="dxa" w:w="1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+0.458 (+0.786)</w:t>
            </w:r>
          </w:p>
        </w:tc>
        <w:tc>
          <w:tcPr>
            <w:tcW w:type="dxa" w:w="18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+0.158 (+0.396)</w:t>
            </w:r>
          </w:p>
        </w:tc>
      </w:tr>
      <w:tr>
        <w:trPr>
          <w:cantSplit/>
        </w:trPr>
        <w:tc>
          <w:tcPr>
            <w:tcW w:type="dxa" w:w="3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Non-wound, same modality</w:t>
            </w:r>
          </w:p>
        </w:tc>
        <w:tc>
          <w:tcPr>
            <w:tcW w:type="dxa" w:w="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w:t>
            </w:r>
          </w:p>
        </w:tc>
        <w:tc>
          <w:tcPr>
            <w:tcW w:type="dxa" w:w="1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+0.899 (+0.860)</w:t>
            </w:r>
          </w:p>
        </w:tc>
        <w:tc>
          <w:tcPr>
            <w:tcW w:type="dxa" w:w="1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+0.859 (+0.777)</w:t>
            </w:r>
          </w:p>
        </w:tc>
        <w:tc>
          <w:tcPr>
            <w:tcW w:type="dxa" w:w="18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+0.879 (+0.882)</w:t>
            </w:r>
          </w:p>
        </w:tc>
      </w:tr>
      <w:tr>
        <w:trPr>
          <w:cantSplit/>
        </w:trPr>
        <w:tc>
          <w:tcPr>
            <w:tcW w:type="dxa" w:w="3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Non-wound, across modality</w:t>
            </w:r>
          </w:p>
        </w:tc>
        <w:tc>
          <w:tcPr>
            <w:tcW w:type="dxa" w:w="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w:t>
            </w:r>
          </w:p>
        </w:tc>
        <w:tc>
          <w:tcPr>
            <w:tcW w:type="dxa" w:w="1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+0.406 (+0.382)</w:t>
            </w:r>
          </w:p>
        </w:tc>
        <w:tc>
          <w:tcPr>
            <w:tcW w:type="dxa" w:w="1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+0.035 (+0.071)</w:t>
            </w:r>
          </w:p>
        </w:tc>
        <w:tc>
          <w:tcPr>
            <w:tcW w:type="dxa" w:w="18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+0.142 (+0.119)</w:t>
            </w:r>
          </w:p>
        </w:tc>
      </w:tr>
      <w:tr>
        <w:trPr>
          <w:cantSplit/>
        </w:trPr>
        <w:tc>
          <w:tcPr>
            <w:tcW w:type="dxa" w:w="30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Wound with non-wound</w:t>
            </w:r>
          </w:p>
        </w:tc>
        <w:tc>
          <w:tcPr>
            <w:tcW w:type="dxa" w:w="8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21</w:t>
            </w:r>
          </w:p>
        </w:tc>
        <w:tc>
          <w:tcPr>
            <w:tcW w:type="dxa" w:w="1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-0.351 (-0.152)</w:t>
            </w:r>
          </w:p>
        </w:tc>
        <w:tc>
          <w:tcPr>
            <w:tcW w:type="dxa" w:w="1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+0.012 (+0.391)</w:t>
            </w:r>
          </w:p>
        </w:tc>
        <w:tc>
          <w:tcPr>
            <w:tcW w:type="dxa" w:w="18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-0.014 (-0.055)</w:t>
            </w:r>
          </w:p>
        </w:tc>
      </w:tr>
    </w:tbl>
    <w:p>
      <w:pPr>
        <w:spacing w:after="140" w:line="276"/>
        <w:jc w:val="both"/>
      </w:pPr>
      <w:r>
        <w:rPr>
          <w:rFonts w:ascii="Times New Roman" w:cs="Times New Roman" w:eastAsia="Times New Roman" w:hAnsi="Times New Roman"/>
          <w:color w:val="000000"/>
          <w:sz w:val="22"/>
          <w:szCs w:val="22"/>
        </w:rPr>
        <w:t xml:space="preserve">Both effects come from pooling. Under Dice, wound references appear anti-correlated with the other modalities at -0.351 over all 32 methods, but the same pairs agree at +0.012 among untrained methods and -0.014 among trained methods. Non-wound references from different modalities appear to agree at +0.406, but the same pairs give +0.035 and +0.142 within the pools. The pooled values lie outside the range of both pool-specific values, which is the signature of a composition effect.</w:t>
      </w:r>
    </w:p>
    <w:p>
      <w:pPr>
        <w:keepNext/>
        <w:spacing w:after="90" w:before="200" w:line="260"/>
      </w:pPr>
      <w:r>
        <w:rPr>
          <w:rFonts w:ascii="Times New Roman" w:cs="Times New Roman" w:eastAsia="Times New Roman" w:hAnsi="Times New Roman"/>
          <w:b/>
          <w:bCs/>
          <w:color w:val="000000"/>
          <w:sz w:val="19"/>
          <w:szCs w:val="19"/>
        </w:rPr>
        <w:t xml:space="preserve">Table 5. </w:t>
      </w:r>
      <w:r>
        <w:rPr>
          <w:rFonts w:ascii="Times New Roman" w:cs="Times New Roman" w:eastAsia="Times New Roman" w:hAnsi="Times New Roman"/>
          <w:color w:val="3F3F3F"/>
          <w:sz w:val="19"/>
          <w:szCs w:val="19"/>
        </w:rPr>
        <w:t xml:space="preserve">Mean Dice of each pool on each reference.</w:t>
      </w:r>
    </w:p>
    <w:tbl>
      <w:tblPr>
        <w:tblW w:type="dxa" w:w="9360"/>
        <w:tblBorders>
          <w:top w:val="single" w:color="8C8C8C" w:sz="8"/>
          <w:left w:val="none"/>
          <w:bottom w:val="single" w:color="8C8C8C" w:sz="8"/>
          <w:right w:val="none"/>
          <w:insideH w:val="single" w:color="CFCFCF" w:sz="2"/>
          <w:insideV w:val="none"/>
        </w:tblBorders>
      </w:tblPr>
      <w:tblGrid>
        <w:gridCol w:w="3360"/>
        <w:gridCol w:w="2000"/>
        <w:gridCol w:w="2000"/>
        <w:gridCol w:w="2000"/>
      </w:tblGrid>
      <w:tr>
        <w:trPr>
          <w:tblHeader/>
        </w:trPr>
        <w:tc>
          <w:tcPr>
            <w:tcW w:type="dxa" w:w="336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Reference</w:t>
            </w:r>
          </w:p>
        </w:tc>
        <w:tc>
          <w:tcPr>
            <w:tcW w:type="dxa" w:w="20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14 trained</w:t>
            </w:r>
          </w:p>
        </w:tc>
        <w:tc>
          <w:tcPr>
            <w:tcW w:type="dxa" w:w="20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18 untrained</w:t>
            </w:r>
          </w:p>
        </w:tc>
        <w:tc>
          <w:tcPr>
            <w:tcW w:type="dxa" w:w="20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Difference</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0.356</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0.292</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+0.064</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0.543</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0.062</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+0.481</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0.420</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0.297</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+0.122</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0.127</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0.229</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-0.102</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Kvasir-sessile</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0.053</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0.111</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-0.057</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CVC-ClinicDB</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0.089</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0.180</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-0.090</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CVC-ColonDB</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0.051</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0.125</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-0.074</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ETIS-Larib</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0.015</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0.067</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-0.052</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PH2</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0.081</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0.490</w:t>
            </w:r>
          </w:p>
        </w:tc>
        <w:tc>
          <w:tcPr>
            <w:tcW w:type="dxa" w:w="2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-0.409</w:t>
            </w:r>
          </w:p>
        </w:tc>
      </w:tr>
      <w:tr>
        <w:trPr>
          <w:cantSplit/>
        </w:trPr>
        <w:tc>
          <w:tcPr>
            <w:tcW w:type="dxa" w:w="33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w:t>
            </w:r>
          </w:p>
        </w:tc>
        <w:tc>
          <w:tcPr>
            <w:tcW w:type="dxa" w:w="20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0.007</w:t>
            </w:r>
          </w:p>
        </w:tc>
        <w:tc>
          <w:tcPr>
            <w:tcW w:type="dxa" w:w="20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0.102</w:t>
            </w:r>
          </w:p>
        </w:tc>
        <w:tc>
          <w:tcPr>
            <w:tcW w:type="dxa" w:w="20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-0.095</w:t>
            </w:r>
          </w:p>
        </w:tc>
      </w:tr>
    </w:tbl>
    <w:p>
      <w:pPr>
        <w:spacing w:after="140" w:line="276"/>
        <w:jc w:val="both"/>
      </w:pPr>
      <w:r>
        <w:rPr>
          <w:rFonts w:ascii="Times New Roman" w:cs="Times New Roman" w:eastAsia="Times New Roman" w:hAnsi="Times New Roman"/>
          <w:color w:val="000000"/>
          <w:sz w:val="22"/>
          <w:szCs w:val="22"/>
        </w:rPr>
        <w:t xml:space="preserve">Table 5 shows the mechanism. The trained methods lead on all three wound references, most strongly on FUSeg, the distribution they were trained on, and fall below the untrained methods on all seven non-wound references, where their mean Dice is between 0.007 and 0.127. When two groups exchange places between domains, a pooled rank correlation between a reference inside the domain and one outside it becomes negative, and correlations between references outside the domain become positive, without any pair of methods inverting.</w:t>
      </w:r>
    </w:p>
    <w:p>
      <w:pPr>
        <w:spacing w:after="140" w:line="276"/>
        <w:jc w:val="both"/>
      </w:pPr>
      <w:r>
        <w:rPr>
          <w:rFonts w:ascii="Times New Roman" w:cs="Times New Roman" w:eastAsia="Times New Roman" w:hAnsi="Times New Roman"/>
          <w:color w:val="000000"/>
          <w:sz w:val="22"/>
          <w:szCs w:val="22"/>
        </w:rPr>
        <w:t xml:space="preserve">Two further observations follow. First, among trained methods the agreement between FUSeg and the other wound references is close to zero (-0.04 with Medetec, 0.03 with AZH), so a ranking measured on the training distribution did not predict the ranking on shifted data of the same modality. Second, the high agreement among trained methods on non-wound references (0.879 within colonoscopy) is agreement about how methods fail: their Dice there is near zero, and their ordering reflects which methods predict some foreground rather than which segment well.</w:t>
      </w:r>
    </w:p>
    <w:p>
      <w:pPr>
        <w:keepNext/>
        <w:spacing w:after="80" w:before="2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5742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2. </w:t>
      </w:r>
      <w:r>
        <w:rPr>
          <w:rFonts w:ascii="Times New Roman" w:cs="Times New Roman" w:eastAsia="Times New Roman" w:hAnsi="Times New Roman"/>
          <w:color w:val="3F3F3F"/>
          <w:sz w:val="19"/>
          <w:szCs w:val="19"/>
        </w:rPr>
        <w:t xml:space="preserve">Left: mean agreement by category of pair for the mixed pool and for each homogeneous pool. Right: mean Dice of each pool on each reference; the shaded band is the trained methods' domain.</w:t>
      </w:r>
    </w:p>
    <w:p>
      <w:pPr>
        <w:pStyle w:val="Heading2"/>
        <w:keepNext/>
        <w:spacing w:after="120" w:before="260"/>
      </w:pPr>
      <w:r>
        <w:rPr>
          <w:rFonts w:ascii="Times New Roman" w:cs="Times New Roman" w:eastAsia="Times New Roman" w:hAnsi="Times New Roman"/>
          <w:b/>
          <w:bCs/>
          <w:color w:val="000000"/>
          <w:sz w:val="23"/>
          <w:szCs w:val="23"/>
        </w:rPr>
        <w:t xml:space="preserve">4.3 The validity of a synthetic benchmark depends on the method pool</w:t>
      </w:r>
    </w:p>
    <w:p>
      <w:pPr>
        <w:spacing w:after="140" w:line="276"/>
        <w:jc w:val="both"/>
      </w:pPr>
      <w:r>
        <w:rPr>
          <w:rFonts w:ascii="Times New Roman" w:cs="Times New Roman" w:eastAsia="Times New Roman" w:hAnsi="Times New Roman"/>
          <w:color w:val="000000"/>
          <w:sz w:val="22"/>
          <w:szCs w:val="22"/>
        </w:rPr>
        <w:t xml:space="preserve">Generator B was scored at three texture amplitudes and three seeds. Its validity is the mean of its agreement with two clinical references, expressed as a percentage of the agreement between those two references over the same pool, so that the normaliser never changes underneath a comparison. Earlier drafts compared a figure computed over 22 methods against Medetec and FUSeg with one computed over 32 methods against Medetec and AZH, which changed two things at once. Table 6 separates them.</w:t>
      </w:r>
    </w:p>
    <w:p>
      <w:pPr>
        <w:keepNext/>
        <w:spacing w:after="90" w:before="200" w:line="260"/>
      </w:pPr>
      <w:r>
        <w:rPr>
          <w:rFonts w:ascii="Times New Roman" w:cs="Times New Roman" w:eastAsia="Times New Roman" w:hAnsi="Times New Roman"/>
          <w:b/>
          <w:bCs/>
          <w:color w:val="000000"/>
          <w:sz w:val="19"/>
          <w:szCs w:val="19"/>
        </w:rPr>
        <w:t xml:space="preserve">Table 6. </w:t>
      </w:r>
      <w:r>
        <w:rPr>
          <w:rFonts w:ascii="Times New Roman" w:cs="Times New Roman" w:eastAsia="Times New Roman" w:hAnsi="Times New Roman"/>
          <w:color w:val="3F3F3F"/>
          <w:sz w:val="19"/>
          <w:szCs w:val="19"/>
        </w:rPr>
        <w:t xml:space="preserve">Generator B validity by method pool and reference pair. Best configuration shown; mean over three seeds.</w:t>
      </w:r>
    </w:p>
    <w:tbl>
      <w:tblPr>
        <w:tblW w:type="dxa" w:w="9360"/>
        <w:tblBorders>
          <w:top w:val="single" w:color="8C8C8C" w:sz="8"/>
          <w:left w:val="none"/>
          <w:bottom w:val="single" w:color="8C8C8C" w:sz="8"/>
          <w:right w:val="none"/>
          <w:insideH w:val="single" w:color="CFCFCF" w:sz="2"/>
          <w:insideV w:val="none"/>
        </w:tblBorders>
      </w:tblPr>
      <w:tblGrid>
        <w:gridCol w:w="1700"/>
        <w:gridCol w:w="2100"/>
        <w:gridCol w:w="1800"/>
        <w:gridCol w:w="2160"/>
        <w:gridCol w:w="1600"/>
      </w:tblGrid>
      <w:tr>
        <w:trPr>
          <w:tblHeader/>
        </w:trPr>
        <w:tc>
          <w:tcPr>
            <w:tcW w:type="dxa" w:w="17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Method pool</w:t>
            </w:r>
          </w:p>
        </w:tc>
        <w:tc>
          <w:tcPr>
            <w:tcW w:type="dxa" w:w="21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References</w:t>
            </w:r>
          </w:p>
        </w:tc>
        <w:tc>
          <w:tcPr>
            <w:tcW w:type="dxa" w:w="18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Clinical agreement</w:t>
            </w:r>
          </w:p>
        </w:tc>
        <w:tc>
          <w:tcPr>
            <w:tcW w:type="dxa" w:w="21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Benchmark agreement</w:t>
            </w:r>
          </w:p>
        </w:tc>
        <w:tc>
          <w:tcPr>
            <w:tcW w:type="dxa" w:w="1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 of clinical</w:t>
            </w:r>
          </w:p>
        </w:tc>
      </w:tr>
      <w:tr>
        <w:trPr>
          <w:cantSplit/>
        </w:trPr>
        <w:tc>
          <w:tcPr>
            <w:tcW w:type="dxa" w:w="1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Original 22</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and FUSeg</w:t>
            </w:r>
          </w:p>
        </w:tc>
        <w:tc>
          <w:tcPr>
            <w:tcW w:type="dxa" w:w="1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+0.567</w:t>
            </w:r>
          </w:p>
        </w:tc>
        <w:tc>
          <w:tcPr>
            <w:tcW w:type="dxa" w:w="2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+0.562 (sd 0.047)</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99%</w:t>
            </w:r>
          </w:p>
        </w:tc>
      </w:tr>
      <w:tr>
        <w:trPr>
          <w:cantSplit/>
        </w:trPr>
        <w:tc>
          <w:tcPr>
            <w:tcW w:type="dxa" w:w="1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18 untrained</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and FUSeg</w:t>
            </w:r>
          </w:p>
        </w:tc>
        <w:tc>
          <w:tcPr>
            <w:tcW w:type="dxa" w:w="1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+0.740</w:t>
            </w:r>
          </w:p>
        </w:tc>
        <w:tc>
          <w:tcPr>
            <w:tcW w:type="dxa" w:w="2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+0.511 (sd 0.028)</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69%</w:t>
            </w:r>
          </w:p>
        </w:tc>
      </w:tr>
      <w:tr>
        <w:trPr>
          <w:cantSplit/>
        </w:trPr>
        <w:tc>
          <w:tcPr>
            <w:tcW w:type="dxa" w:w="1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All 32</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and FUSeg</w:t>
            </w:r>
          </w:p>
        </w:tc>
        <w:tc>
          <w:tcPr>
            <w:tcW w:type="dxa" w:w="1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+0.461</w:t>
            </w:r>
          </w:p>
        </w:tc>
        <w:tc>
          <w:tcPr>
            <w:tcW w:type="dxa" w:w="2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+0.276 (sd 0.007)</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60%</w:t>
            </w:r>
          </w:p>
        </w:tc>
      </w:tr>
      <w:tr>
        <w:trPr>
          <w:cantSplit/>
        </w:trPr>
        <w:tc>
          <w:tcPr>
            <w:tcW w:type="dxa" w:w="1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Original 22</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and AZH</w:t>
            </w:r>
          </w:p>
        </w:tc>
        <w:tc>
          <w:tcPr>
            <w:tcW w:type="dxa" w:w="1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+0.451</w:t>
            </w:r>
          </w:p>
        </w:tc>
        <w:tc>
          <w:tcPr>
            <w:tcW w:type="dxa" w:w="2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+0.522 (sd 0.048)</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116%</w:t>
            </w:r>
          </w:p>
        </w:tc>
      </w:tr>
      <w:tr>
        <w:trPr>
          <w:cantSplit/>
        </w:trPr>
        <w:tc>
          <w:tcPr>
            <w:tcW w:type="dxa" w:w="1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18 untrained</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and AZH</w:t>
            </w:r>
          </w:p>
        </w:tc>
        <w:tc>
          <w:tcPr>
            <w:tcW w:type="dxa" w:w="18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+0.486</w:t>
            </w:r>
          </w:p>
        </w:tc>
        <w:tc>
          <w:tcPr>
            <w:tcW w:type="dxa" w:w="2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+0.480 (sd 0.003)</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99%</w:t>
            </w:r>
          </w:p>
        </w:tc>
      </w:tr>
      <w:tr>
        <w:trPr>
          <w:cantSplit/>
        </w:trPr>
        <w:tc>
          <w:tcPr>
            <w:tcW w:type="dxa" w:w="17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All 32</w:t>
            </w:r>
          </w:p>
        </w:tc>
        <w:tc>
          <w:tcPr>
            <w:tcW w:type="dxa" w:w="21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Medetec and AZH</w:t>
            </w:r>
          </w:p>
        </w:tc>
        <w:tc>
          <w:tcPr>
            <w:tcW w:type="dxa" w:w="18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+0.568</w:t>
            </w:r>
          </w:p>
        </w:tc>
        <w:tc>
          <w:tcPr>
            <w:tcW w:type="dxa" w:w="21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+0.272 (sd 0.006)</w:t>
            </w:r>
          </w:p>
        </w:tc>
        <w:tc>
          <w:tcPr>
            <w:tcW w:type="dxa" w:w="1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48%</w:t>
            </w:r>
          </w:p>
        </w:tc>
      </w:tr>
    </w:tbl>
    <w:p>
      <w:pPr>
        <w:spacing w:after="140" w:line="276"/>
        <w:jc w:val="both"/>
      </w:pPr>
      <w:r>
        <w:rPr>
          <w:rFonts w:ascii="Times New Roman" w:cs="Times New Roman" w:eastAsia="Times New Roman" w:hAnsi="Times New Roman"/>
          <w:color w:val="000000"/>
          <w:sz w:val="22"/>
          <w:szCs w:val="22"/>
        </w:rPr>
        <w:t xml:space="preserve">With the references held fixed, validity falls as the pool changes: from 99 to 60 percent against Medetec and FUSeg, and from 116 to 48 percent against Medetec and AZH. In absolute terms the benchmark agrees with clinical data at about 0.5 over pools without the modern architectures and at about 0.27 over all 32, whichever reference pair is used. The clinical-to-clinical agreement over the full pool is 0.568 against Medetec and AZH and 0.567 for the original 22-method comparison against Medetec and FUSeg, so the drop is not caused by a change in the normaliser (Figure 3).</w:t>
      </w:r>
    </w:p>
    <w:p>
      <w:pPr>
        <w:spacing w:after="140" w:line="276"/>
        <w:jc w:val="both"/>
      </w:pPr>
      <w:r>
        <w:rPr>
          <w:rFonts w:ascii="Times New Roman" w:cs="Times New Roman" w:eastAsia="Times New Roman" w:hAnsi="Times New Roman"/>
          <w:color w:val="000000"/>
          <w:sz w:val="22"/>
          <w:szCs w:val="22"/>
        </w:rPr>
        <w:t xml:space="preserve">Two cautions apply to the percentage. It is not bounded by 100: a benchmark can agree with each of two references more than they agree with each other, as the 116 percent shows when clinical agreement is low. The absolute agreement is therefore reported alongside it. Second, the increase of validity with background texture reported earlier is a pool effect. Over all 32 methods, agreement with Medetec and AZH rises from 0.133 to 0.236 to 0.272 across the three amplitudes; over the 18 untrained methods it is flat at 0.480, 0.443 and 0.453.</w:t>
      </w:r>
    </w:p>
    <w:p>
      <w:pPr>
        <w:keepNext/>
        <w:spacing w:after="80" w:before="22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0037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3. </w:t>
      </w:r>
      <w:r>
        <w:rPr>
          <w:rFonts w:ascii="Times New Roman" w:cs="Times New Roman" w:eastAsia="Times New Roman" w:hAnsi="Times New Roman"/>
          <w:color w:val="3F3F3F"/>
          <w:sz w:val="19"/>
          <w:szCs w:val="19"/>
        </w:rPr>
        <w:t xml:space="preserve">Generator B agreement with clinical references against measured background texture, over all 32 methods (black line) and over the original 22 (open triangle). The two clinical-to-clinical values coincide and are drawn as one line.</w:t>
      </w:r>
    </w:p>
    <w:p>
      <w:pPr>
        <w:pStyle w:val="Heading2"/>
        <w:keepNext/>
        <w:spacing w:after="120" w:before="260"/>
      </w:pPr>
      <w:r>
        <w:rPr>
          <w:rFonts w:ascii="Times New Roman" w:cs="Times New Roman" w:eastAsia="Times New Roman" w:hAnsi="Times New Roman"/>
          <w:b/>
          <w:bCs/>
          <w:color w:val="000000"/>
          <w:sz w:val="23"/>
          <w:szCs w:val="23"/>
        </w:rPr>
        <w:t xml:space="preserve">4.4 Lesion fraction weakens a reference's preference for contrast</w:t>
      </w:r>
    </w:p>
    <w:p>
      <w:pPr>
        <w:spacing w:after="140" w:line="276"/>
        <w:jc w:val="both"/>
      </w:pPr>
      <w:r>
        <w:rPr>
          <w:rFonts w:ascii="Times New Roman" w:cs="Times New Roman" w:eastAsia="Times New Roman" w:hAnsi="Times New Roman"/>
          <w:color w:val="000000"/>
          <w:sz w:val="22"/>
          <w:szCs w:val="22"/>
        </w:rPr>
        <w:t xml:space="preserve">AZH frames, from the reference no method was trained on, were cropped around their lesions to seven target lesion fractions between 0.035 and 0.30. The crops use the same 140 frames and annotations, so lesion fraction is the only thing that changes between the seven references. For each crop we measured its preference over lesion-to-surround contrast against a seven-level contrast sweep of generator B, at four seeds.</w:t>
      </w:r>
    </w:p>
    <w:p>
      <w:pPr>
        <w:keepNext/>
        <w:spacing w:after="90" w:before="200" w:line="260"/>
      </w:pPr>
      <w:r>
        <w:rPr>
          <w:rFonts w:ascii="Times New Roman" w:cs="Times New Roman" w:eastAsia="Times New Roman" w:hAnsi="Times New Roman"/>
          <w:b/>
          <w:bCs/>
          <w:color w:val="000000"/>
          <w:sz w:val="19"/>
          <w:szCs w:val="19"/>
        </w:rPr>
        <w:t xml:space="preserve">Table 7. </w:t>
      </w:r>
      <w:r>
        <w:rPr>
          <w:rFonts w:ascii="Times New Roman" w:cs="Times New Roman" w:eastAsia="Times New Roman" w:hAnsi="Times New Roman"/>
          <w:color w:val="3F3F3F"/>
          <w:sz w:val="19"/>
          <w:szCs w:val="19"/>
        </w:rPr>
        <w:t xml:space="preserve">Contrast preference against lesion fraction, by pool and metric. Monotonicity is the Spearman correlation of preference with lesion fraction, per seed.</w:t>
      </w:r>
    </w:p>
    <w:tbl>
      <w:tblPr>
        <w:tblW w:type="dxa" w:w="9360"/>
        <w:tblBorders>
          <w:top w:val="single" w:color="8C8C8C" w:sz="8"/>
          <w:left w:val="none"/>
          <w:bottom w:val="single" w:color="8C8C8C" w:sz="8"/>
          <w:right w:val="none"/>
          <w:insideH w:val="single" w:color="CFCFCF" w:sz="2"/>
          <w:insideV w:val="none"/>
        </w:tblBorders>
      </w:tblPr>
      <w:tblGrid>
        <w:gridCol w:w="900"/>
        <w:gridCol w:w="1400"/>
        <w:gridCol w:w="2400"/>
        <w:gridCol w:w="3060"/>
        <w:gridCol w:w="1600"/>
      </w:tblGrid>
      <w:tr>
        <w:trPr>
          <w:tblHeader/>
        </w:trPr>
        <w:tc>
          <w:tcPr>
            <w:tcW w:type="dxa" w:w="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Metric</w:t>
            </w:r>
          </w:p>
        </w:tc>
        <w:tc>
          <w:tcPr>
            <w:tcW w:type="dxa" w:w="14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Pool</w:t>
            </w:r>
          </w:p>
        </w:tc>
        <w:tc>
          <w:tcPr>
            <w:tcW w:type="dxa" w:w="24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Preference at 0.035 and at 0.30</w:t>
            </w:r>
          </w:p>
        </w:tc>
        <w:tc>
          <w:tcPr>
            <w:tcW w:type="dxa" w:w="30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Monotonicity, 4 seeds</w:t>
            </w:r>
          </w:p>
        </w:tc>
        <w:tc>
          <w:tcPr>
            <w:tcW w:type="dxa" w:w="1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Sign change</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Dice</w:t>
            </w:r>
          </w:p>
        </w:tc>
        <w:tc>
          <w:tcPr>
            <w:tcW w:type="dxa" w:w="1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All 32</w:t>
            </w:r>
          </w:p>
        </w:tc>
        <w:tc>
          <w:tcPr>
            <w:tcW w:type="dxa" w:w="2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+0.077, -0.086</w:t>
            </w:r>
          </w:p>
        </w:tc>
        <w:tc>
          <w:tcPr>
            <w:tcW w:type="dxa" w:w="3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-1.000 in all (p 0.0005)</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0.055 to 0.080</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Dice</w:t>
            </w:r>
          </w:p>
        </w:tc>
        <w:tc>
          <w:tcPr>
            <w:tcW w:type="dxa" w:w="1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18 untrained</w:t>
            </w:r>
          </w:p>
        </w:tc>
        <w:tc>
          <w:tcPr>
            <w:tcW w:type="dxa" w:w="2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+0.002, -0.029</w:t>
            </w:r>
          </w:p>
        </w:tc>
        <w:tc>
          <w:tcPr>
            <w:tcW w:type="dxa" w:w="3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-0.39 to -0.64 (p 0.14 to 0.40)</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none; starts at zero</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Dice</w:t>
            </w:r>
          </w:p>
        </w:tc>
        <w:tc>
          <w:tcPr>
            <w:tcW w:type="dxa" w:w="1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14 trained</w:t>
            </w:r>
          </w:p>
        </w:tc>
        <w:tc>
          <w:tcPr>
            <w:tcW w:type="dxa" w:w="2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+0.071, +0.088</w:t>
            </w:r>
          </w:p>
        </w:tc>
        <w:tc>
          <w:tcPr>
            <w:tcW w:type="dxa" w:w="3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+0.61 to +0.96</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none</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NSD</w:t>
            </w:r>
          </w:p>
        </w:tc>
        <w:tc>
          <w:tcPr>
            <w:tcW w:type="dxa" w:w="1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All 32</w:t>
            </w:r>
          </w:p>
        </w:tc>
        <w:tc>
          <w:tcPr>
            <w:tcW w:type="dxa" w:w="2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+0.080, -0.079</w:t>
            </w:r>
          </w:p>
        </w:tc>
        <w:tc>
          <w:tcPr>
            <w:tcW w:type="dxa" w:w="3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-1.000 in all (p 0.0005)</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0.110 to 0.160</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NSD</w:t>
            </w:r>
          </w:p>
        </w:tc>
        <w:tc>
          <w:tcPr>
            <w:tcW w:type="dxa" w:w="14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18 untrained</w:t>
            </w:r>
          </w:p>
        </w:tc>
        <w:tc>
          <w:tcPr>
            <w:tcW w:type="dxa" w:w="2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+0.033, +0.001</w:t>
            </w:r>
          </w:p>
        </w:tc>
        <w:tc>
          <w:tcPr>
            <w:tcW w:type="dxa" w:w="30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-0.93 to -0.96 (p at most 0.006)</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none</w:t>
            </w:r>
          </w:p>
        </w:tc>
      </w:tr>
      <w:tr>
        <w:trPr>
          <w:cantSplit/>
        </w:trPr>
        <w:tc>
          <w:tcPr>
            <w:tcW w:type="dxa" w:w="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NSD</w:t>
            </w:r>
          </w:p>
        </w:tc>
        <w:tc>
          <w:tcPr>
            <w:tcW w:type="dxa" w:w="1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14 trained</w:t>
            </w:r>
          </w:p>
        </w:tc>
        <w:tc>
          <w:tcPr>
            <w:tcW w:type="dxa" w:w="24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+0.055, +0.032</w:t>
            </w:r>
          </w:p>
        </w:tc>
        <w:tc>
          <w:tcPr>
            <w:tcW w:type="dxa" w:w="30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-0.86 to -0.89 (p at most 0.025)</w:t>
            </w:r>
          </w:p>
        </w:tc>
        <w:tc>
          <w:tcPr>
            <w:tcW w:type="dxa" w:w="1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none</w:t>
            </w:r>
          </w:p>
        </w:tc>
      </w:tr>
    </w:tbl>
    <w:p>
      <w:pPr>
        <w:spacing w:after="140" w:line="276"/>
        <w:jc w:val="both"/>
      </w:pPr>
      <w:r>
        <w:rPr>
          <w:rFonts w:ascii="Times New Roman" w:cs="Times New Roman" w:eastAsia="Times New Roman" w:hAnsi="Times New Roman"/>
          <w:color w:val="000000"/>
          <w:sz w:val="22"/>
          <w:szCs w:val="22"/>
        </w:rPr>
        <w:t xml:space="preserve">Over the full pool, both metrics show a reference whose preference reverses: small lesions reward high contrast and large lesions reward low contrast. That reversal does not exist within either homogeneous pool. Under Dice, the untrained pool shows a weak and non-significant trend and the trained pool trends the other way, so the full-pool curve is a composition effect of the kind shown in Section 4.2. Under NSD, the preference for contrast weakens monotonically as lesion fraction rises in both pools and in every seed, but stays positive throughout.</w:t>
      </w:r>
    </w:p>
    <w:p>
      <w:pPr>
        <w:spacing w:after="140" w:line="276"/>
        <w:jc w:val="both"/>
      </w:pPr>
      <w:r>
        <w:rPr>
          <w:rFonts w:ascii="Times New Roman" w:cs="Times New Roman" w:eastAsia="Times New Roman" w:hAnsi="Times New Roman"/>
          <w:color w:val="000000"/>
          <w:sz w:val="22"/>
          <w:szCs w:val="22"/>
        </w:rPr>
        <w:t xml:space="preserve">Medetec took no part in building the curve. Placed at its median lesion fraction, 0.098, its measured preference under NSD falls within 3 percent of the curve range over all 32 methods, 4 percent over the untrained pool (predicted +0.024, measured +0.023) and 15 percent over the trained pool. Under Dice the placements are poor, consistent with the absence of a stable within-pool relationship under that metric. The supported claim is therefore the weaker one: within a modality and under a boundary metric, a reference with larger lesions rewards lesion-to-surround contrast less, and a held-out dataset follows the relationship.</w:t>
      </w:r>
    </w:p>
    <w:p>
      <w:pPr>
        <w:keepNext/>
        <w:spacing w:after="80" w:before="2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6697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4. </w:t>
      </w:r>
      <w:r>
        <w:rPr>
          <w:rFonts w:ascii="Times New Roman" w:cs="Times New Roman" w:eastAsia="Times New Roman" w:hAnsi="Times New Roman"/>
          <w:color w:val="3F3F3F"/>
          <w:sz w:val="19"/>
          <w:szCs w:val="19"/>
        </w:rPr>
        <w:t xml:space="preserve">Contrast preference against the lesion fraction of AZH crops, for the mixed pool and each homogeneous pool. Stars mark held-out Medetec, measured. The reversal appears only in the mixed pool.</w:t>
      </w:r>
    </w:p>
    <w:p>
      <w:pPr>
        <w:pStyle w:val="Heading2"/>
        <w:keepNext/>
        <w:spacing w:after="120" w:before="260"/>
      </w:pPr>
      <w:r>
        <w:rPr>
          <w:rFonts w:ascii="Times New Roman" w:cs="Times New Roman" w:eastAsia="Times New Roman" w:hAnsi="Times New Roman"/>
          <w:b/>
          <w:bCs/>
          <w:color w:val="000000"/>
          <w:sz w:val="23"/>
          <w:szCs w:val="23"/>
        </w:rPr>
        <w:t xml:space="preserve">4.5 Validity is not determined by the measured texture statistic</w:t>
      </w:r>
    </w:p>
    <w:p>
      <w:pPr>
        <w:keepNext/>
        <w:spacing w:after="90" w:before="200" w:line="260"/>
      </w:pPr>
      <w:r>
        <w:rPr>
          <w:rFonts w:ascii="Times New Roman" w:cs="Times New Roman" w:eastAsia="Times New Roman" w:hAnsi="Times New Roman"/>
          <w:b/>
          <w:bCs/>
          <w:color w:val="000000"/>
          <w:sz w:val="19"/>
          <w:szCs w:val="19"/>
        </w:rPr>
        <w:t xml:space="preserve">Table 8. </w:t>
      </w:r>
      <w:r>
        <w:rPr>
          <w:rFonts w:ascii="Times New Roman" w:cs="Times New Roman" w:eastAsia="Times New Roman" w:hAnsi="Times New Roman"/>
          <w:color w:val="3F3F3F"/>
          <w:sz w:val="19"/>
          <w:szCs w:val="19"/>
        </w:rPr>
        <w:t xml:space="preserve">Benchmarks from three generator families against Medetec and AZH.</w:t>
      </w:r>
    </w:p>
    <w:tbl>
      <w:tblPr>
        <w:tblW w:type="dxa" w:w="9360"/>
        <w:tblBorders>
          <w:top w:val="single" w:color="8C8C8C" w:sz="8"/>
          <w:left w:val="none"/>
          <w:bottom w:val="single" w:color="8C8C8C" w:sz="8"/>
          <w:right w:val="none"/>
          <w:insideH w:val="single" w:color="CFCFCF" w:sz="2"/>
          <w:insideV w:val="none"/>
        </w:tblBorders>
      </w:tblPr>
      <w:tblGrid>
        <w:gridCol w:w="3360"/>
        <w:gridCol w:w="1200"/>
        <w:gridCol w:w="1600"/>
        <w:gridCol w:w="1600"/>
        <w:gridCol w:w="1600"/>
      </w:tblGrid>
      <w:tr>
        <w:trPr>
          <w:tblHeader/>
        </w:trPr>
        <w:tc>
          <w:tcPr>
            <w:tcW w:type="dxa" w:w="336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Benchmark</w:t>
            </w:r>
          </w:p>
        </w:tc>
        <w:tc>
          <w:tcPr>
            <w:tcW w:type="dxa" w:w="12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Texture</w:t>
            </w:r>
          </w:p>
        </w:tc>
        <w:tc>
          <w:tcPr>
            <w:tcW w:type="dxa" w:w="1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All 32</w:t>
            </w:r>
          </w:p>
        </w:tc>
        <w:tc>
          <w:tcPr>
            <w:tcW w:type="dxa" w:w="1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18 untrained</w:t>
            </w:r>
          </w:p>
        </w:tc>
        <w:tc>
          <w:tcPr>
            <w:tcW w:type="dxa" w:w="1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14 trained</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Generator A, uniform drape</w:t>
            </w:r>
          </w:p>
        </w:tc>
        <w:tc>
          <w:tcPr>
            <w:tcW w:type="dxa" w:w="12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2.10</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-0.153</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+0.379</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+0.136</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Generator C, no noise</w:t>
            </w:r>
          </w:p>
        </w:tc>
        <w:tc>
          <w:tcPr>
            <w:tcW w:type="dxa" w:w="12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2.34</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+0.007</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+0.246</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+0.024</w:t>
            </w:r>
          </w:p>
        </w:tc>
      </w:tr>
      <w:tr>
        <w:trPr>
          <w:cantSplit/>
        </w:trPr>
        <w:tc>
          <w:tcPr>
            <w:tcW w:type="dxa" w:w="336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Generator C, noise 3.4</w:t>
            </w:r>
          </w:p>
        </w:tc>
        <w:tc>
          <w:tcPr>
            <w:tcW w:type="dxa" w:w="12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3.20</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+0.017</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+0.232</w:t>
            </w:r>
          </w:p>
        </w:tc>
        <w:tc>
          <w:tcPr>
            <w:tcW w:type="dxa" w:w="1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+0.112</w:t>
            </w:r>
          </w:p>
        </w:tc>
      </w:tr>
      <w:tr>
        <w:trPr>
          <w:cantSplit/>
        </w:trPr>
        <w:tc>
          <w:tcPr>
            <w:tcW w:type="dxa" w:w="33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Generator B, texture ablated</w:t>
            </w:r>
          </w:p>
        </w:tc>
        <w:tc>
          <w:tcPr>
            <w:tcW w:type="dxa" w:w="12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3.23</w:t>
            </w:r>
          </w:p>
        </w:tc>
        <w:tc>
          <w:tcPr>
            <w:tcW w:type="dxa" w:w="1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+0.132</w:t>
            </w:r>
          </w:p>
        </w:tc>
        <w:tc>
          <w:tcPr>
            <w:tcW w:type="dxa" w:w="1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+0.409</w:t>
            </w:r>
          </w:p>
        </w:tc>
        <w:tc>
          <w:tcPr>
            <w:tcW w:type="dxa" w:w="1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+0.138</w:t>
            </w:r>
          </w:p>
        </w:tc>
      </w:tr>
    </w:tbl>
    <w:p>
      <w:pPr>
        <w:spacing w:after="140" w:line="276"/>
        <w:jc w:val="both"/>
      </w:pPr>
      <w:r>
        <w:rPr>
          <w:rFonts w:ascii="Times New Roman" w:cs="Times New Roman" w:eastAsia="Times New Roman" w:hAnsi="Times New Roman"/>
          <w:color w:val="000000"/>
          <w:sz w:val="22"/>
          <w:szCs w:val="22"/>
        </w:rPr>
        <w:t xml:space="preserve">If validity were a function of the texture statistic, benchmarks matched on it would agree. Generator C at 3.20 and generator B at 3.23 are matched to within 0.03 and differ in validity by 0.176 among untrained methods and by 0.115 over all 32. Generator A at 2.10 and generator C at 2.34 differ by 0.133 and 0.160. Among trained methods the closely matched pair differs by only 0.026, but every value in that pool is low. The result holds most clearly in the untrained pool, where the methods carry no dependence on wound data and where the spread between generators at fixed texture exceeds any effect of texture itself (Section 4.3).</w:t>
      </w:r>
    </w:p>
    <w:p>
      <w:pPr>
        <w:keepNext/>
        <w:spacing w:after="80" w:before="22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7647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5. </w:t>
      </w:r>
      <w:r>
        <w:rPr>
          <w:rFonts w:ascii="Times New Roman" w:cs="Times New Roman" w:eastAsia="Times New Roman" w:hAnsi="Times New Roman"/>
          <w:color w:val="3F3F3F"/>
          <w:sz w:val="19"/>
          <w:szCs w:val="19"/>
        </w:rPr>
        <w:t xml:space="preserve">Validity against measured background texture for four benchmarks from three generator families, over all 32 methods and over the untrained pool. Bracketed pairs are matched on the statistic.</w:t>
      </w:r>
    </w:p>
    <w:p>
      <w:pPr>
        <w:pStyle w:val="Heading2"/>
        <w:keepNext/>
        <w:spacing w:after="120" w:before="260"/>
      </w:pPr>
      <w:r>
        <w:rPr>
          <w:rFonts w:ascii="Times New Roman" w:cs="Times New Roman" w:eastAsia="Times New Roman" w:hAnsi="Times New Roman"/>
          <w:b/>
          <w:bCs/>
          <w:color w:val="000000"/>
          <w:sz w:val="23"/>
          <w:szCs w:val="23"/>
        </w:rPr>
        <w:t xml:space="preserve">4.6 Robustness</w:t>
      </w:r>
    </w:p>
    <w:p>
      <w:pPr>
        <w:spacing w:after="100" w:line="276"/>
        <w:jc w:val="both"/>
      </w:pPr>
      <w:r>
        <w:rPr>
          <w:rFonts w:ascii="Times New Roman" w:cs="Times New Roman" w:eastAsia="Times New Roman" w:hAnsi="Times New Roman"/>
          <w:b/>
          <w:bCs/>
          <w:color w:val="000000"/>
          <w:sz w:val="22"/>
          <w:szCs w:val="22"/>
        </w:rPr>
        <w:t xml:space="preserve">Empty ground truth.</w:t>
      </w:r>
      <w:r>
        <w:rPr>
          <w:rFonts w:ascii="Times New Roman" w:cs="Times New Roman" w:eastAsia="Times New Roman" w:hAnsi="Times New Roman"/>
          <w:color w:val="000000"/>
          <w:sz w:val="22"/>
          <w:szCs w:val="22"/>
        </w:rPr>
        <w:t xml:space="preserve"> On an empty-ground-truth image a method scores 1 if it predicts nothing and 0 otherwise. On AZH, all ten modern architectures leave at least 70 percent of the empty images empty, while 16 of the 18 untrained methods never do, which shifts the trained methods' mean Dice on AZH by up to 0.067. The empty images create no exact ties in any reference. Excluding them changes one pair materially: FUSeg against AZH falls from 0.660 to 0.368 over all 32 methods under Dice, while the two Medetec pairs move from 0.461 to 0.478 and from 0.568 to 0.510, and the control from 0.944 to 0.920. Under NSD, FUSeg against AZH moves from 0.782 to 0.712. Every modality test remains significant.</w:t>
      </w:r>
    </w:p>
    <w:p>
      <w:pPr>
        <w:spacing w:after="100" w:line="276"/>
        <w:jc w:val="both"/>
      </w:pPr>
      <w:r>
        <w:rPr>
          <w:rFonts w:ascii="Times New Roman" w:cs="Times New Roman" w:eastAsia="Times New Roman" w:hAnsi="Times New Roman"/>
          <w:b/>
          <w:bCs/>
          <w:color w:val="000000"/>
          <w:sz w:val="22"/>
          <w:szCs w:val="22"/>
        </w:rPr>
        <w:t xml:space="preserve">Kvasir overlap.</w:t>
      </w:r>
      <w:r>
        <w:rPr>
          <w:rFonts w:ascii="Times New Roman" w:cs="Times New Roman" w:eastAsia="Times New Roman" w:hAnsi="Times New Roman"/>
          <w:color w:val="000000"/>
          <w:sz w:val="22"/>
          <w:szCs w:val="22"/>
        </w:rPr>
        <w:t xml:space="preserve"> An earlier draft scored the first 120 images of Kvasir-SEG and of its sessile subset, which shared 31 images. With disjoint images the within-source agreement changes from 0.952 to 0.950.</w:t>
      </w:r>
    </w:p>
    <w:p>
      <w:pPr>
        <w:spacing w:after="140" w:line="276"/>
        <w:jc w:val="both"/>
      </w:pPr>
      <w:r>
        <w:rPr>
          <w:rFonts w:ascii="Times New Roman" w:cs="Times New Roman" w:eastAsia="Times New Roman" w:hAnsi="Times New Roman"/>
          <w:b/>
          <w:bCs/>
          <w:color w:val="000000"/>
          <w:sz w:val="22"/>
          <w:szCs w:val="22"/>
        </w:rPr>
        <w:t xml:space="preserve">Metric.</w:t>
      </w:r>
      <w:r>
        <w:rPr>
          <w:rFonts w:ascii="Times New Roman" w:cs="Times New Roman" w:eastAsia="Times New Roman" w:hAnsi="Times New Roman"/>
          <w:color w:val="000000"/>
          <w:sz w:val="22"/>
          <w:szCs w:val="22"/>
        </w:rPr>
        <w:t xml:space="preserve"> Every main result is reported under both Dice and NSD above. The modality structure, the composition effect and the pool dependence of validity hold under both; the lesion-fraction relationship holds within pools only under NSD.</w:t>
      </w:r>
    </w:p>
    <w:p>
      <w:pPr>
        <w:pStyle w:val="Heading1"/>
        <w:keepNext/>
        <w:spacing w:after="160" w:before="360"/>
      </w:pPr>
      <w:r>
        <w:rPr>
          <w:rFonts w:ascii="Times New Roman" w:cs="Times New Roman" w:eastAsia="Times New Roman" w:hAnsi="Times New Roman"/>
          <w:b/>
          <w:bCs/>
          <w:color w:val="000000"/>
          <w:sz w:val="26"/>
          <w:szCs w:val="26"/>
        </w:rPr>
        <w:t xml:space="preserve">5. Discussion</w:t>
      </w:r>
    </w:p>
    <w:p>
      <w:pPr>
        <w:pStyle w:val="Heading2"/>
        <w:keepNext/>
        <w:spacing w:after="120" w:before="260"/>
      </w:pPr>
      <w:r>
        <w:rPr>
          <w:rFonts w:ascii="Times New Roman" w:cs="Times New Roman" w:eastAsia="Times New Roman" w:hAnsi="Times New Roman"/>
          <w:b/>
          <w:bCs/>
          <w:color w:val="000000"/>
          <w:sz w:val="23"/>
          <w:szCs w:val="23"/>
        </w:rPr>
        <w:t xml:space="preserve">5.1 What a validity figure measures</w:t>
      </w:r>
    </w:p>
    <w:p>
      <w:pPr>
        <w:spacing w:after="140" w:line="276"/>
        <w:jc w:val="both"/>
      </w:pPr>
      <w:r>
        <w:rPr>
          <w:rFonts w:ascii="Times New Roman" w:cs="Times New Roman" w:eastAsia="Times New Roman" w:hAnsi="Times New Roman"/>
          <w:color w:val="000000"/>
          <w:sz w:val="22"/>
          <w:szCs w:val="22"/>
        </w:rPr>
        <w:t xml:space="preserve">A synthetic benchmark's validity is usually reported as a single correlation with clinical data. Our results show that number depends on three things besides the benchmark. It depends on the clinical reference: within one modality, two references can agree at 0.95 in colonoscopy or at 0.15 in wound photography. It depends on the method pool, which with the references fixed moves validity from about 0.5 to about 0.27. And it is not determined by a natural image statistic of the benchmark. A figure that names none of the reference, the pool and the composition of the pool does not transfer to another study.</w:t>
      </w:r>
    </w:p>
    <w:p>
      <w:pPr>
        <w:spacing w:after="140" w:line="276"/>
        <w:jc w:val="both"/>
      </w:pPr>
      <w:r>
        <w:rPr>
          <w:rFonts w:ascii="Times New Roman" w:cs="Times New Roman" w:eastAsia="Times New Roman" w:hAnsi="Times New Roman"/>
          <w:color w:val="000000"/>
          <w:sz w:val="22"/>
          <w:szCs w:val="22"/>
        </w:rPr>
        <w:t xml:space="preserve">Four practices follow and each is inexpensive. Report agreement as a matrix over several references rather than as a single number. Name the method pool. Analyse trained and untrained methods, or methods trained on different data, separately before pooling them. Include a within-dataset control, which costs one scoring run on a disjoint slice and makes every other agreement interpretable.</w:t>
      </w:r>
    </w:p>
    <w:p>
      <w:pPr>
        <w:pStyle w:val="Heading2"/>
        <w:keepNext/>
        <w:spacing w:after="120" w:before="260"/>
      </w:pPr>
      <w:r>
        <w:rPr>
          <w:rFonts w:ascii="Times New Roman" w:cs="Times New Roman" w:eastAsia="Times New Roman" w:hAnsi="Times New Roman"/>
          <w:b/>
          <w:bCs/>
          <w:color w:val="000000"/>
          <w:sz w:val="23"/>
          <w:szCs w:val="23"/>
        </w:rPr>
        <w:t xml:space="preserve">5.2 Relation to prior work on pool effects</w:t>
      </w:r>
    </w:p>
    <w:p>
      <w:pPr>
        <w:spacing w:after="140" w:line="276"/>
        <w:jc w:val="both"/>
      </w:pPr>
      <w:r>
        <w:rPr>
          <w:rFonts w:ascii="Times New Roman" w:cs="Times New Roman" w:eastAsia="Times New Roman" w:hAnsi="Times New Roman"/>
          <w:color w:val="000000"/>
          <w:sz w:val="22"/>
          <w:szCs w:val="22"/>
        </w:rPr>
        <w:t xml:space="preserve">That benchmark agreement depends on the models compared, and that task-matched training confounds rankings, is established for language model benchmarks (Perlitz et al., 2024; Zhang et al., 2026; Dominguez-Olmedo et al., 2025), and the sign of an in-distribution to out-of-distribution correlation is known to depend on model selection (Teney et al., 2023). Our contribution is to show the same mechanism in medical segmentation and to show three consequences that, as far as we found, have not been reported together. Pooling manufactures spurious agreement as well as spurious disagreement. It inflates agreement within a single clinic: FUSeg and AZH agree at 0.66 over the full pool and at 0.15 and 0.03 within the pools. And it produces apparent design-property effects inside a synthetic benchmark study, including two that we ourselves first reported as findings.</w:t>
      </w:r>
    </w:p>
    <w:p>
      <w:pPr>
        <w:pStyle w:val="Heading2"/>
        <w:keepNext/>
        <w:spacing w:after="120" w:before="260"/>
      </w:pPr>
      <w:r>
        <w:rPr>
          <w:rFonts w:ascii="Times New Roman" w:cs="Times New Roman" w:eastAsia="Times New Roman" w:hAnsi="Times New Roman"/>
          <w:b/>
          <w:bCs/>
          <w:color w:val="000000"/>
          <w:sz w:val="23"/>
          <w:szCs w:val="23"/>
        </w:rPr>
        <w:t xml:space="preserve">5.3 Why wound photography is the exception</w:t>
      </w:r>
    </w:p>
    <w:p>
      <w:pPr>
        <w:spacing w:after="140" w:line="276"/>
        <w:jc w:val="both"/>
      </w:pPr>
      <w:r>
        <w:rPr>
          <w:rFonts w:ascii="Times New Roman" w:cs="Times New Roman" w:eastAsia="Times New Roman" w:hAnsi="Times New Roman"/>
          <w:color w:val="000000"/>
          <w:sz w:val="22"/>
          <w:szCs w:val="22"/>
        </w:rPr>
        <w:t xml:space="preserve">Colonoscopy references from three centres agree almost as well as two halves of one dataset, and wound references do not. Colonoscopy frames share an acquisition device class and a field of view, whereas wound photographs have no standard framing: the three wound references span a twelve-fold range of median lesion fraction and two of them are distributed at different crops of one clinic's images. Under NSD, untrained methods agree across wound references at 0.79, close to the colonoscopy level, which is consistent with Dice's region-size sensitivity interacting with these framing differences. We offer this as an interpretation rather than a tested mechanism, since three wound references are too few to test it. It is also consistent with Section 4.4, where lesion fraction changes what a reference rewards. A three-model study reported stable wound rankings across two external sets (Benfatah, 2026); with three trained models, its pool is close to our trained pool, in which agreement between FUSeg and Medetec is near zero, so the two results differ in pool and in datasets as well as in conclusion.</w:t>
      </w:r>
    </w:p>
    <w:p>
      <w:pPr>
        <w:pStyle w:val="Heading2"/>
        <w:keepNext/>
        <w:spacing w:after="120" w:before="260"/>
      </w:pPr>
      <w:r>
        <w:rPr>
          <w:rFonts w:ascii="Times New Roman" w:cs="Times New Roman" w:eastAsia="Times New Roman" w:hAnsi="Times New Roman"/>
          <w:b/>
          <w:bCs/>
          <w:color w:val="000000"/>
          <w:sz w:val="23"/>
          <w:szCs w:val="23"/>
        </w:rPr>
        <w:t xml:space="preserve">5.4 Matching rather than maximising</w:t>
      </w:r>
    </w:p>
    <w:p>
      <w:pPr>
        <w:spacing w:after="140" w:line="276"/>
        <w:jc w:val="both"/>
      </w:pPr>
      <w:r>
        <w:rPr>
          <w:rFonts w:ascii="Times New Roman" w:cs="Times New Roman" w:eastAsia="Times New Roman" w:hAnsi="Times New Roman"/>
          <w:color w:val="000000"/>
          <w:sz w:val="22"/>
          <w:szCs w:val="22"/>
        </w:rPr>
        <w:t xml:space="preserve">The domain randomisation literature recommends maximising variation in synthetic training data, randomising texture, lighting and placement well beyond realism, so that a model trained on it transfers to real images (Tobin et al., 2017; Tremblay et al., 2018), with structured variants that keep scene context (Prakash et al., 2019). Evaluation has a different objective. A benchmark exists to order methods as the deployment distribution would, which argues for matching that distribution, including its framing conventions, rather than exceeding it. Table 5 gives a clean illustration of the training-side problem that randomisation addresses: methods trained on one narrow domain reach 0.54 mean Dice on it and below 0.13 on every other modality.</w:t>
      </w:r>
    </w:p>
    <w:p>
      <w:pPr>
        <w:pStyle w:val="Heading2"/>
        <w:keepNext/>
        <w:spacing w:after="120" w:before="260"/>
      </w:pPr>
      <w:r>
        <w:rPr>
          <w:rFonts w:ascii="Times New Roman" w:cs="Times New Roman" w:eastAsia="Times New Roman" w:hAnsi="Times New Roman"/>
          <w:b/>
          <w:bCs/>
          <w:color w:val="000000"/>
          <w:sz w:val="23"/>
          <w:szCs w:val="23"/>
        </w:rPr>
        <w:t xml:space="preserve">5.5 Limitations</w:t>
      </w:r>
    </w:p>
    <w:p>
      <w:pPr>
        <w:spacing w:after="90" w:line="276"/>
        <w:ind w:left="240"/>
        <w:jc w:val="both"/>
      </w:pPr>
      <w:r>
        <w:rPr>
          <w:rFonts w:ascii="Times New Roman" w:cs="Times New Roman" w:eastAsia="Times New Roman" w:hAnsi="Times New Roman"/>
          <w:color w:val="000000"/>
          <w:sz w:val="22"/>
          <w:szCs w:val="22"/>
        </w:rPr>
        <w:t xml:space="preserve">Wound photography has three references from two sources. Every statement about within-modality agreement for wounds rests on three pairs, and no independent third wound source could be obtained for this study.</w:t>
      </w:r>
    </w:p>
    <w:p>
      <w:pPr>
        <w:spacing w:after="90" w:line="276"/>
        <w:ind w:left="240"/>
        <w:jc w:val="both"/>
      </w:pPr>
      <w:r>
        <w:rPr>
          <w:rFonts w:ascii="Times New Roman" w:cs="Times New Roman" w:eastAsia="Times New Roman" w:hAnsi="Times New Roman"/>
          <w:color w:val="000000"/>
          <w:sz w:val="22"/>
          <w:szCs w:val="22"/>
        </w:rPr>
        <w:t xml:space="preserve">All 14 trained methods were trained on one wound dataset. The composition effect is shown for that configuration; pools trained on several domains, or pretrained foundation models, were not tested.</w:t>
      </w:r>
    </w:p>
    <w:p>
      <w:pPr>
        <w:spacing w:after="90" w:line="276"/>
        <w:ind w:left="240"/>
        <w:jc w:val="both"/>
      </w:pPr>
      <w:r>
        <w:rPr>
          <w:rFonts w:ascii="Times New Roman" w:cs="Times New Roman" w:eastAsia="Times New Roman" w:hAnsi="Times New Roman"/>
          <w:color w:val="000000"/>
          <w:sz w:val="22"/>
          <w:szCs w:val="22"/>
        </w:rPr>
        <w:t xml:space="preserve">The modern architectures were trained from random initialisation on 393 images at 128 by 128 pixels. They span modern architectural variation under one protocol but are not the fully trained, pretrained models a practitioner would deploy. Neither nnU-Net nor a segmentation foundation model is included.</w:t>
      </w:r>
    </w:p>
    <w:p>
      <w:pPr>
        <w:spacing w:after="90" w:line="276"/>
        <w:ind w:left="240"/>
        <w:jc w:val="both"/>
      </w:pPr>
      <w:r>
        <w:rPr>
          <w:rFonts w:ascii="Times New Roman" w:cs="Times New Roman" w:eastAsia="Times New Roman" w:hAnsi="Times New Roman"/>
          <w:color w:val="000000"/>
          <w:sz w:val="22"/>
          <w:szCs w:val="22"/>
        </w:rPr>
        <w:t xml:space="preserve">Each agreement is a Spearman over 32, 18 or 14 points. The smaller pools have wider intervals, and the trained pool's agreement outside its domain reflects failure modes rather than segmentation quality.</w:t>
      </w:r>
    </w:p>
    <w:p>
      <w:pPr>
        <w:spacing w:after="90" w:line="276"/>
        <w:ind w:left="240"/>
        <w:jc w:val="both"/>
      </w:pPr>
      <w:r>
        <w:rPr>
          <w:rFonts w:ascii="Times New Roman" w:cs="Times New Roman" w:eastAsia="Times New Roman" w:hAnsi="Times New Roman"/>
          <w:color w:val="000000"/>
          <w:sz w:val="22"/>
          <w:szCs w:val="22"/>
        </w:rPr>
        <w:t xml:space="preserve">The framing crops use the ground-truth mask centroid and area, which no deployable pipeline could reproduce. They are instruments for varying one property, not proposed preprocessing. AZH patches start at a lesion fraction of about 0.02, so the curve begins at 0.035, and only one held-out dataset falls in its range.</w:t>
      </w:r>
    </w:p>
    <w:p>
      <w:pPr>
        <w:spacing w:after="90" w:line="276"/>
        <w:ind w:left="240"/>
        <w:jc w:val="both"/>
      </w:pPr>
      <w:r>
        <w:rPr>
          <w:rFonts w:ascii="Times New Roman" w:cs="Times New Roman" w:eastAsia="Times New Roman" w:hAnsi="Times New Roman"/>
          <w:color w:val="000000"/>
          <w:sz w:val="22"/>
          <w:szCs w:val="22"/>
        </w:rPr>
        <w:t xml:space="preserve">The synthetic benchmarks contain 45 images each, the contrast preference is fitted over seven contrast levels, and the validity decomposition uses three seeds.</w:t>
      </w:r>
    </w:p>
    <w:p>
      <w:pPr>
        <w:spacing w:after="90" w:line="276"/>
        <w:ind w:left="240"/>
        <w:jc w:val="both"/>
      </w:pPr>
      <w:r>
        <w:rPr>
          <w:rFonts w:ascii="Times New Roman" w:cs="Times New Roman" w:eastAsia="Times New Roman" w:hAnsi="Times New Roman"/>
          <w:color w:val="000000"/>
          <w:sz w:val="22"/>
          <w:szCs w:val="22"/>
        </w:rPr>
        <w:t xml:space="preserve">Both empty-mask conventions are reported, but other conventions, such as excluding empty images only from the metric and not from ranking, were not explored.</w:t>
      </w:r>
    </w:p>
    <w:p>
      <w:pPr>
        <w:spacing w:after="90" w:line="276"/>
        <w:ind w:left="240"/>
        <w:jc w:val="both"/>
      </w:pPr>
      <w:r>
        <w:rPr>
          <w:rFonts w:ascii="Times New Roman" w:cs="Times New Roman" w:eastAsia="Times New Roman" w:hAnsi="Times New Roman"/>
          <w:color w:val="000000"/>
          <w:sz w:val="22"/>
          <w:szCs w:val="22"/>
        </w:rPr>
        <w:t xml:space="preserve">The three generator families were written by the same authors and may share assumptions about what a wound photograph looks like.</w:t>
      </w:r>
    </w:p>
    <w:p>
      <w:pPr>
        <w:pStyle w:val="Heading2"/>
        <w:keepNext/>
        <w:spacing w:after="120" w:before="260"/>
      </w:pPr>
      <w:r>
        <w:rPr>
          <w:rFonts w:ascii="Times New Roman" w:cs="Times New Roman" w:eastAsia="Times New Roman" w:hAnsi="Times New Roman"/>
          <w:b/>
          <w:bCs/>
          <w:color w:val="000000"/>
          <w:sz w:val="23"/>
          <w:szCs w:val="23"/>
        </w:rPr>
        <w:t xml:space="preserve">5.6 Conclusion</w:t>
      </w:r>
    </w:p>
    <w:p>
      <w:pPr>
        <w:spacing w:after="140" w:line="276"/>
        <w:jc w:val="both"/>
      </w:pPr>
      <w:r>
        <w:rPr>
          <w:rFonts w:ascii="Times New Roman" w:cs="Times New Roman" w:eastAsia="Times New Roman" w:hAnsi="Times New Roman"/>
          <w:color w:val="000000"/>
          <w:sz w:val="22"/>
          <w:szCs w:val="22"/>
        </w:rPr>
        <w:t xml:space="preserve">The validity of a synthetic segmentation benchmark is a joint property of the benchmark, the clinical reference and the method pool. Agreement between clinical references is organised by modality, with wound photography a weak exception. Pooling trained and untrained methods manufactures cross-domain agreement and disagreement, halves the measured validity of a synthetic benchmark with the references fixed, and produced two apparent design effects in our own analysis that vanish within homogeneous pools. A measured background-texture statistic does not determine validity. Within a modality and under a boundary metric, a reference with larger lesions rewards contrast less. Reporting agreement as a matrix over references, naming the pool, separating trained from untrained methods and including a within-dataset control would make validity figures comparable across studies.</w:t>
      </w:r>
    </w:p>
    <w:p>
      <w:pPr>
        <w:pStyle w:val="Heading2"/>
        <w:keepNext/>
        <w:spacing w:after="120" w:before="260"/>
      </w:pPr>
      <w:r>
        <w:rPr>
          <w:rFonts w:ascii="Times New Roman" w:cs="Times New Roman" w:eastAsia="Times New Roman" w:hAnsi="Times New Roman"/>
          <w:b/>
          <w:bCs/>
          <w:color w:val="000000"/>
          <w:sz w:val="23"/>
          <w:szCs w:val="23"/>
        </w:rPr>
        <w:t xml:space="preserve">Data and code availability</w:t>
      </w:r>
    </w:p>
    <w:p>
      <w:pPr>
        <w:spacing w:after="140" w:line="276"/>
        <w:jc w:val="both"/>
      </w:pPr>
      <w:r>
        <w:rPr>
          <w:rFonts w:ascii="Times New Roman" w:cs="Times New Roman" w:eastAsia="Times New Roman" w:hAnsi="Times New Roman"/>
          <w:color w:val="000000"/>
          <w:sz w:val="22"/>
          <w:szCs w:val="22"/>
        </w:rPr>
        <w:t xml:space="preserve">All clinical reference sets are publicly available from their original distributors and are not redistributed. The code for all 32 methods, the three generators and every experiment, together with per-image scores for every reference, is held in the project repository.</w:t>
      </w:r>
    </w:p>
    <w:p>
      <w:r>
        <w:br w:type="page"/>
      </w:r>
    </w:p>
    <w:p>
      <w:pPr>
        <w:pStyle w:val="Heading1"/>
        <w:keepNext/>
        <w:spacing w:after="160" w:before="360"/>
      </w:pPr>
      <w:r>
        <w:rPr>
          <w:rFonts w:ascii="Times New Roman" w:cs="Times New Roman" w:eastAsia="Times New Roman" w:hAnsi="Times New Roman"/>
          <w:b/>
          <w:bCs/>
          <w:color w:val="000000"/>
          <w:sz w:val="26"/>
          <w:szCs w:val="26"/>
        </w:rPr>
        <w:t xml:space="preserve">References</w:t>
      </w:r>
    </w:p>
    <w:p>
      <w:pPr>
        <w:spacing w:after="70" w:line="250"/>
        <w:ind w:left="360" w:hanging="360"/>
        <w:jc w:val="left"/>
      </w:pPr>
      <w:r>
        <w:rPr>
          <w:rFonts w:ascii="Times New Roman" w:cs="Times New Roman" w:eastAsia="Times New Roman" w:hAnsi="Times New Roman"/>
          <w:color w:val="000000"/>
          <w:sz w:val="19"/>
          <w:szCs w:val="19"/>
        </w:rPr>
        <w:t xml:space="preserve">Alajmi, A., Elnahal, Y., Othman, M., Aljuhani, M., Alharbi, A., Abdelhady, G., 2026. A systematic multi-dataset, multi-seed evaluation of preprocessing strategies for retinal optic disc and cup segmentation. Diagnostics 16(17), 2880. </w:t>
      </w:r>
      <w:hyperlink w:history="1" r:id="rId0gt9awtfratsmwl0xuqwh">
        <w:r>
          <w:rPr>
            <w:rFonts w:ascii="Times New Roman" w:cs="Times New Roman" w:eastAsia="Times New Roman" w:hAnsi="Times New Roman"/>
            <w:color w:val="28598A"/>
            <w:sz w:val="19"/>
            <w:szCs w:val="19"/>
            <w:u w:val="single" w:color="28598A"/>
          </w:rPr>
          <w:t xml:space="preserve">https://doi.org/10.3390/diagnostics16172880</w:t>
        </w:r>
      </w:hyperlink>
    </w:p>
    <w:p>
      <w:pPr>
        <w:spacing w:after="70" w:line="250"/>
        <w:ind w:left="360" w:hanging="360"/>
        <w:jc w:val="left"/>
      </w:pPr>
      <w:r>
        <w:rPr>
          <w:rFonts w:ascii="Times New Roman" w:cs="Times New Roman" w:eastAsia="Times New Roman" w:hAnsi="Times New Roman"/>
          <w:color w:val="000000"/>
          <w:sz w:val="19"/>
          <w:szCs w:val="19"/>
        </w:rPr>
        <w:t xml:space="preserve">Alfano, B., Comerci, M., Larobina, M., et al., 2011. An MRI digital brain phantom for validation of segmentation methods. Medical Image Analysis 15(3), 329-339. </w:t>
      </w:r>
      <w:hyperlink w:history="1" r:id="rId7p5m4sy-mrrq3rq4tordx">
        <w:r>
          <w:rPr>
            <w:rFonts w:ascii="Times New Roman" w:cs="Times New Roman" w:eastAsia="Times New Roman" w:hAnsi="Times New Roman"/>
            <w:color w:val="28598A"/>
            <w:sz w:val="19"/>
            <w:szCs w:val="19"/>
            <w:u w:val="single" w:color="28598A"/>
          </w:rPr>
          <w:t xml:space="preserve">https://doi.org/10.1016/j.media.2011.01.004</w:t>
        </w:r>
      </w:hyperlink>
    </w:p>
    <w:p>
      <w:pPr>
        <w:spacing w:after="70" w:line="250"/>
        <w:ind w:left="360" w:hanging="360"/>
        <w:jc w:val="left"/>
      </w:pPr>
      <w:r>
        <w:rPr>
          <w:rFonts w:ascii="Times New Roman" w:cs="Times New Roman" w:eastAsia="Times New Roman" w:hAnsi="Times New Roman"/>
          <w:color w:val="000000"/>
          <w:sz w:val="19"/>
          <w:szCs w:val="19"/>
        </w:rPr>
        <w:t xml:space="preserve">Ali, S., Ghatwary, N., Jha, D., et al., 2024. Assessing generalisability of deep learning-based polyp detection and segmentation methods through a computer vision challenge. Scientific Reports 14, 2032. </w:t>
      </w:r>
      <w:hyperlink w:history="1" r:id="rIdnrhbv7wluav0vmj1_x1cy">
        <w:r>
          <w:rPr>
            <w:rFonts w:ascii="Times New Roman" w:cs="Times New Roman" w:eastAsia="Times New Roman" w:hAnsi="Times New Roman"/>
            <w:color w:val="28598A"/>
            <w:sz w:val="19"/>
            <w:szCs w:val="19"/>
            <w:u w:val="single" w:color="28598A"/>
          </w:rPr>
          <w:t xml:space="preserve">https://doi.org/10.1038/s41598-024-52063-x</w:t>
        </w:r>
      </w:hyperlink>
    </w:p>
    <w:p>
      <w:pPr>
        <w:spacing w:after="70" w:line="250"/>
        <w:ind w:left="360" w:hanging="360"/>
        <w:jc w:val="left"/>
      </w:pPr>
      <w:r>
        <w:rPr>
          <w:rFonts w:ascii="Times New Roman" w:cs="Times New Roman" w:eastAsia="Times New Roman" w:hAnsi="Times New Roman"/>
          <w:color w:val="000000"/>
          <w:sz w:val="19"/>
          <w:szCs w:val="19"/>
        </w:rPr>
        <w:t xml:space="preserve">Antonelli, M., Reinke, A., Bakas, S., et al., 2022. The Medical Segmentation Decathlon. Nature Communications 13, 4128. </w:t>
      </w:r>
      <w:hyperlink w:history="1" r:id="rIdaj7jdk1egfnkpyr9fmb-g">
        <w:r>
          <w:rPr>
            <w:rFonts w:ascii="Times New Roman" w:cs="Times New Roman" w:eastAsia="Times New Roman" w:hAnsi="Times New Roman"/>
            <w:color w:val="28598A"/>
            <w:sz w:val="19"/>
            <w:szCs w:val="19"/>
            <w:u w:val="single" w:color="28598A"/>
          </w:rPr>
          <w:t xml:space="preserve">https://doi.org/10.1038/s41467-022-30695-9</w:t>
        </w:r>
      </w:hyperlink>
    </w:p>
    <w:p>
      <w:pPr>
        <w:spacing w:after="70" w:line="250"/>
        <w:ind w:left="360" w:hanging="360"/>
        <w:jc w:val="left"/>
      </w:pPr>
      <w:r>
        <w:rPr>
          <w:rFonts w:ascii="Times New Roman" w:cs="Times New Roman" w:eastAsia="Times New Roman" w:hAnsi="Times New Roman"/>
          <w:color w:val="000000"/>
          <w:sz w:val="19"/>
          <w:szCs w:val="19"/>
        </w:rPr>
        <w:t xml:space="preserve">Badano, A., Graff, C.G., Badal, A., et al., 2018. Evaluation of digital breast tomosynthesis as replacement of full-field digital mammography using an in silico imaging trial. JAMA Network Open 1(7), e185474. </w:t>
      </w:r>
      <w:hyperlink w:history="1" r:id="rIdhs3cci1pziexheimkalzh">
        <w:r>
          <w:rPr>
            <w:rFonts w:ascii="Times New Roman" w:cs="Times New Roman" w:eastAsia="Times New Roman" w:hAnsi="Times New Roman"/>
            <w:color w:val="28598A"/>
            <w:sz w:val="19"/>
            <w:szCs w:val="19"/>
            <w:u w:val="single" w:color="28598A"/>
          </w:rPr>
          <w:t xml:space="preserve">https://doi.org/10.1001/jamanetworkopen.2018.5474</w:t>
        </w:r>
      </w:hyperlink>
    </w:p>
    <w:p>
      <w:pPr>
        <w:spacing w:after="70" w:line="250"/>
        <w:ind w:left="360" w:hanging="360"/>
        <w:jc w:val="left"/>
      </w:pPr>
      <w:r>
        <w:rPr>
          <w:rFonts w:ascii="Times New Roman" w:cs="Times New Roman" w:eastAsia="Times New Roman" w:hAnsi="Times New Roman"/>
          <w:color w:val="000000"/>
          <w:sz w:val="19"/>
          <w:szCs w:val="19"/>
        </w:rPr>
        <w:t xml:space="preserve">Baek, C., Jiang, Y., Raghunathan, A., Kolter, J.Z., 2022. Agreement-on-the-line: Predicting the performance of neural networks under distribution shift. In: Advances in Neural Information Processing Systems 35 (NeurIPS 2022), pp. 19274-19289. </w:t>
      </w:r>
      <w:hyperlink w:history="1" r:id="rIdiwnqh8kqds_xt5d_1ju73">
        <w:r>
          <w:rPr>
            <w:rFonts w:ascii="Times New Roman" w:cs="Times New Roman" w:eastAsia="Times New Roman" w:hAnsi="Times New Roman"/>
            <w:color w:val="28598A"/>
            <w:sz w:val="19"/>
            <w:szCs w:val="19"/>
            <w:u w:val="single" w:color="28598A"/>
          </w:rPr>
          <w:t xml:space="preserve">https://arxiv.org/abs/2206.13089</w:t>
        </w:r>
      </w:hyperlink>
    </w:p>
    <w:p>
      <w:pPr>
        <w:spacing w:after="70" w:line="250"/>
        <w:ind w:left="360" w:hanging="360"/>
        <w:jc w:val="left"/>
      </w:pPr>
      <w:r>
        <w:rPr>
          <w:rFonts w:ascii="Times New Roman" w:cs="Times New Roman" w:eastAsia="Times New Roman" w:hAnsi="Times New Roman"/>
          <w:color w:val="000000"/>
          <w:sz w:val="19"/>
          <w:szCs w:val="19"/>
        </w:rPr>
        <w:t xml:space="preserve">Basiri, R., Manji, K., Harton, F., Poonja, A., Popovic, M.R., Khan, S.S., 2023. Synthesizing diabetic foot ulcer images with diffusion model. arXiv preprint. </w:t>
      </w:r>
      <w:hyperlink w:history="1" r:id="rId3d9n3fkav7wukhzs4g7eb">
        <w:r>
          <w:rPr>
            <w:rFonts w:ascii="Times New Roman" w:cs="Times New Roman" w:eastAsia="Times New Roman" w:hAnsi="Times New Roman"/>
            <w:color w:val="28598A"/>
            <w:sz w:val="19"/>
            <w:szCs w:val="19"/>
            <w:u w:val="single" w:color="28598A"/>
          </w:rPr>
          <w:t xml:space="preserve">https://arxiv.org/abs/2310.20140</w:t>
        </w:r>
      </w:hyperlink>
    </w:p>
    <w:p>
      <w:pPr>
        <w:spacing w:after="70" w:line="250"/>
        <w:ind w:left="360" w:hanging="360"/>
        <w:jc w:val="left"/>
      </w:pPr>
      <w:r>
        <w:rPr>
          <w:rFonts w:ascii="Times New Roman" w:cs="Times New Roman" w:eastAsia="Times New Roman" w:hAnsi="Times New Roman"/>
          <w:color w:val="000000"/>
          <w:sz w:val="19"/>
          <w:szCs w:val="19"/>
        </w:rPr>
        <w:t xml:space="preserve">Bassi, P.R.A.S., Li, W., Tang, Y., et al., 2024. Touchstone benchmark: Are we on the right way for evaluating AI algorithms for medical segmentation? In: Advances in Neural Information Processing Systems 37 (NeurIPS 2024), Datasets and Benchmarks Track. </w:t>
      </w:r>
      <w:hyperlink w:history="1" r:id="rIdpfcemge3l6fx-wd-lt-de">
        <w:r>
          <w:rPr>
            <w:rFonts w:ascii="Times New Roman" w:cs="Times New Roman" w:eastAsia="Times New Roman" w:hAnsi="Times New Roman"/>
            <w:color w:val="28598A"/>
            <w:sz w:val="19"/>
            <w:szCs w:val="19"/>
            <w:u w:val="single" w:color="28598A"/>
          </w:rPr>
          <w:t xml:space="preserve">https://arxiv.org/abs/2411.03670</w:t>
        </w:r>
      </w:hyperlink>
    </w:p>
    <w:p>
      <w:pPr>
        <w:spacing w:after="70" w:line="250"/>
        <w:ind w:left="360" w:hanging="360"/>
        <w:jc w:val="left"/>
      </w:pPr>
      <w:r>
        <w:rPr>
          <w:rFonts w:ascii="Times New Roman" w:cs="Times New Roman" w:eastAsia="Times New Roman" w:hAnsi="Times New Roman"/>
          <w:color w:val="000000"/>
          <w:sz w:val="19"/>
          <w:szCs w:val="19"/>
        </w:rPr>
        <w:t xml:space="preserve">Benfatah, A., 2026. Do diabetic foot ulcer segmentation models generalize? A cross-dataset benchmark of CNN and transformer architectures. arXiv preprint. </w:t>
      </w:r>
      <w:hyperlink w:history="1" r:id="rIdmrajkkarube9nibxvn_4o">
        <w:r>
          <w:rPr>
            <w:rFonts w:ascii="Times New Roman" w:cs="Times New Roman" w:eastAsia="Times New Roman" w:hAnsi="Times New Roman"/>
            <w:color w:val="28598A"/>
            <w:sz w:val="19"/>
            <w:szCs w:val="19"/>
            <w:u w:val="single" w:color="28598A"/>
          </w:rPr>
          <w:t xml:space="preserve">https://arxiv.org/abs/2607.02555</w:t>
        </w:r>
      </w:hyperlink>
    </w:p>
    <w:p>
      <w:pPr>
        <w:spacing w:after="70" w:line="250"/>
        <w:ind w:left="360" w:hanging="360"/>
        <w:jc w:val="left"/>
      </w:pPr>
      <w:r>
        <w:rPr>
          <w:rFonts w:ascii="Times New Roman" w:cs="Times New Roman" w:eastAsia="Times New Roman" w:hAnsi="Times New Roman"/>
          <w:color w:val="000000"/>
          <w:sz w:val="19"/>
          <w:szCs w:val="19"/>
        </w:rPr>
        <w:t xml:space="preserve">Bernal, J., Sánchez, J., Vilariño, F., 2012. Towards automatic polyp detection with a polyp appearance model. Pattern Recognition 45(9), 3166-3182. </w:t>
      </w:r>
      <w:hyperlink w:history="1" r:id="rIdxdji1y64asoufw6xmmruu">
        <w:r>
          <w:rPr>
            <w:rFonts w:ascii="Times New Roman" w:cs="Times New Roman" w:eastAsia="Times New Roman" w:hAnsi="Times New Roman"/>
            <w:color w:val="28598A"/>
            <w:sz w:val="19"/>
            <w:szCs w:val="19"/>
            <w:u w:val="single" w:color="28598A"/>
          </w:rPr>
          <w:t xml:space="preserve">https://doi.org/10.1016/j.patcog.2012.03.002</w:t>
        </w:r>
      </w:hyperlink>
    </w:p>
    <w:p>
      <w:pPr>
        <w:spacing w:after="70" w:line="250"/>
        <w:ind w:left="360" w:hanging="360"/>
        <w:jc w:val="left"/>
      </w:pPr>
      <w:r>
        <w:rPr>
          <w:rFonts w:ascii="Times New Roman" w:cs="Times New Roman" w:eastAsia="Times New Roman" w:hAnsi="Times New Roman"/>
          <w:color w:val="000000"/>
          <w:sz w:val="19"/>
          <w:szCs w:val="19"/>
        </w:rPr>
        <w:t xml:space="preserve">Bernal, J., Sánchez, F.J., Fernández-Esparrach, G., Gil, D., Rodríguez, C., Vilariño, F., 2015. WM-DOVA maps for accurate polyp highlighting in colonoscopy: Validation vs. saliency maps from physicians. Computerized Medical Imaging and Graphics 43, 99-111. </w:t>
      </w:r>
      <w:hyperlink w:history="1" r:id="rIdj-wdjmuub3bi4ljt3olqu">
        <w:r>
          <w:rPr>
            <w:rFonts w:ascii="Times New Roman" w:cs="Times New Roman" w:eastAsia="Times New Roman" w:hAnsi="Times New Roman"/>
            <w:color w:val="28598A"/>
            <w:sz w:val="19"/>
            <w:szCs w:val="19"/>
            <w:u w:val="single" w:color="28598A"/>
          </w:rPr>
          <w:t xml:space="preserve">https://doi.org/10.1016/j.compmedimag.2015.02.007</w:t>
        </w:r>
      </w:hyperlink>
    </w:p>
    <w:p>
      <w:pPr>
        <w:spacing w:after="70" w:line="250"/>
        <w:ind w:left="360" w:hanging="360"/>
        <w:jc w:val="left"/>
      </w:pPr>
      <w:r>
        <w:rPr>
          <w:rFonts w:ascii="Times New Roman" w:cs="Times New Roman" w:eastAsia="Times New Roman" w:hAnsi="Times New Roman"/>
          <w:color w:val="000000"/>
          <w:sz w:val="19"/>
          <w:szCs w:val="19"/>
        </w:rPr>
        <w:t xml:space="preserve">Billot, B., Greve, D.N., Puonti, O., et al., 2023. SynthSeg: Segmentation of brain MRI scans of any contrast and resolution without retraining. Medical Image Analysis 86, 102789. </w:t>
      </w:r>
      <w:hyperlink w:history="1" r:id="rIdlo83rcyqb1fcjtr77thbq">
        <w:r>
          <w:rPr>
            <w:rFonts w:ascii="Times New Roman" w:cs="Times New Roman" w:eastAsia="Times New Roman" w:hAnsi="Times New Roman"/>
            <w:color w:val="28598A"/>
            <w:sz w:val="19"/>
            <w:szCs w:val="19"/>
            <w:u w:val="single" w:color="28598A"/>
          </w:rPr>
          <w:t xml:space="preserve">https://doi.org/10.1016/j.media.2023.102789</w:t>
        </w:r>
      </w:hyperlink>
    </w:p>
    <w:p>
      <w:pPr>
        <w:spacing w:after="70" w:line="250"/>
        <w:ind w:left="360" w:hanging="360"/>
        <w:jc w:val="left"/>
      </w:pPr>
      <w:r>
        <w:rPr>
          <w:rFonts w:ascii="Times New Roman" w:cs="Times New Roman" w:eastAsia="Times New Roman" w:hAnsi="Times New Roman"/>
          <w:color w:val="000000"/>
          <w:sz w:val="19"/>
          <w:szCs w:val="19"/>
        </w:rPr>
        <w:t xml:space="preserve">Borsukiewicz, P., Lunghi, D., Ouédraogo, W.C., Klein, J., Bissyandé, T.F., 2026. Benchmarking face recognition without real faces. arXiv preprint. </w:t>
      </w:r>
      <w:hyperlink w:history="1" r:id="rIdbxzajsrif-zkuerq4em2x">
        <w:r>
          <w:rPr>
            <w:rFonts w:ascii="Times New Roman" w:cs="Times New Roman" w:eastAsia="Times New Roman" w:hAnsi="Times New Roman"/>
            <w:color w:val="28598A"/>
            <w:sz w:val="19"/>
            <w:szCs w:val="19"/>
            <w:u w:val="single" w:color="28598A"/>
          </w:rPr>
          <w:t xml:space="preserve">https://arxiv.org/abs/2607.14932</w:t>
        </w:r>
      </w:hyperlink>
    </w:p>
    <w:p>
      <w:pPr>
        <w:spacing w:after="70" w:line="250"/>
        <w:ind w:left="360" w:hanging="360"/>
        <w:jc w:val="left"/>
      </w:pPr>
      <w:r>
        <w:rPr>
          <w:rFonts w:ascii="Times New Roman" w:cs="Times New Roman" w:eastAsia="Times New Roman" w:hAnsi="Times New Roman"/>
          <w:color w:val="000000"/>
          <w:sz w:val="19"/>
          <w:szCs w:val="19"/>
        </w:rPr>
        <w:t xml:space="preserve">Castro, D.C., Walker, I., Glocker, B., 2020. Causality matters in medical imaging. Nature Communications 11, 3673. </w:t>
      </w:r>
      <w:hyperlink w:history="1" r:id="rIdkmhlebukivouuqhag9gqk">
        <w:r>
          <w:rPr>
            <w:rFonts w:ascii="Times New Roman" w:cs="Times New Roman" w:eastAsia="Times New Roman" w:hAnsi="Times New Roman"/>
            <w:color w:val="28598A"/>
            <w:sz w:val="19"/>
            <w:szCs w:val="19"/>
            <w:u w:val="single" w:color="28598A"/>
          </w:rPr>
          <w:t xml:space="preserve">https://doi.org/10.1038/s41467-020-17478-w</w:t>
        </w:r>
      </w:hyperlink>
    </w:p>
    <w:p>
      <w:pPr>
        <w:spacing w:after="70" w:line="250"/>
        <w:ind w:left="360" w:hanging="360"/>
        <w:jc w:val="left"/>
      </w:pPr>
      <w:r>
        <w:rPr>
          <w:rFonts w:ascii="Times New Roman" w:cs="Times New Roman" w:eastAsia="Times New Roman" w:hAnsi="Times New Roman"/>
          <w:color w:val="000000"/>
          <w:sz w:val="19"/>
          <w:szCs w:val="19"/>
        </w:rPr>
        <w:t xml:space="preserve">Chaurasia, A., Culurciello, E., 2017. LinkNet: Exploiting encoder representations for efficient semantic segmentation. In: 2017 IEEE Visual Communications and Image Processing (VCIP), pp. 1-4. </w:t>
      </w:r>
      <w:hyperlink w:history="1" r:id="rIdf73bjlk7o7la2jqutszer">
        <w:r>
          <w:rPr>
            <w:rFonts w:ascii="Times New Roman" w:cs="Times New Roman" w:eastAsia="Times New Roman" w:hAnsi="Times New Roman"/>
            <w:color w:val="28598A"/>
            <w:sz w:val="19"/>
            <w:szCs w:val="19"/>
            <w:u w:val="single" w:color="28598A"/>
          </w:rPr>
          <w:t xml:space="preserve">https://doi.org/10.1109/VCIP.2017.8305148</w:t>
        </w:r>
      </w:hyperlink>
    </w:p>
    <w:p>
      <w:pPr>
        <w:spacing w:after="70" w:line="250"/>
        <w:ind w:left="360" w:hanging="360"/>
        <w:jc w:val="left"/>
      </w:pPr>
      <w:r>
        <w:rPr>
          <w:rFonts w:ascii="Times New Roman" w:cs="Times New Roman" w:eastAsia="Times New Roman" w:hAnsi="Times New Roman"/>
          <w:color w:val="000000"/>
          <w:sz w:val="19"/>
          <w:szCs w:val="19"/>
        </w:rPr>
        <w:t xml:space="preserve">Chen, L.-C., Zhu, Y., Papandreou, G., Schroff, F., Adam, H., 2018. Encoder-decoder with atrous separable convolution for semantic image segmentation. In: Computer Vision, ECCV 2018. Lecture Notes in Computer Science 11211, pp. 833-851. </w:t>
      </w:r>
      <w:hyperlink w:history="1" r:id="rIdqqxgbqajwv-qy-fxqfsqc">
        <w:r>
          <w:rPr>
            <w:rFonts w:ascii="Times New Roman" w:cs="Times New Roman" w:eastAsia="Times New Roman" w:hAnsi="Times New Roman"/>
            <w:color w:val="28598A"/>
            <w:sz w:val="19"/>
            <w:szCs w:val="19"/>
            <w:u w:val="single" w:color="28598A"/>
          </w:rPr>
          <w:t xml:space="preserve">https://doi.org/10.1007/978-3-030-01234-2_49</w:t>
        </w:r>
      </w:hyperlink>
    </w:p>
    <w:p>
      <w:pPr>
        <w:spacing w:after="70" w:line="250"/>
        <w:ind w:left="360" w:hanging="360"/>
        <w:jc w:val="left"/>
      </w:pPr>
      <w:r>
        <w:rPr>
          <w:rFonts w:ascii="Times New Roman" w:cs="Times New Roman" w:eastAsia="Times New Roman" w:hAnsi="Times New Roman"/>
          <w:color w:val="000000"/>
          <w:sz w:val="19"/>
          <w:szCs w:val="19"/>
        </w:rPr>
        <w:t xml:space="preserve">Chen, R.J., Lu, M.Y., Chen, T.Y., Williamson, D.F.K., Mahmood, F., 2021. Synthetic data in machine learning for medicine and healthcare. Nature Biomedical Engineering 5(6), 493-497. </w:t>
      </w:r>
      <w:hyperlink w:history="1" r:id="rId4d-0hsj-fcse1vyp2kjgx">
        <w:r>
          <w:rPr>
            <w:rFonts w:ascii="Times New Roman" w:cs="Times New Roman" w:eastAsia="Times New Roman" w:hAnsi="Times New Roman"/>
            <w:color w:val="28598A"/>
            <w:sz w:val="19"/>
            <w:szCs w:val="19"/>
            <w:u w:val="single" w:color="28598A"/>
          </w:rPr>
          <w:t xml:space="preserve">https://doi.org/10.1038/s41551-021-00751-8</w:t>
        </w:r>
      </w:hyperlink>
    </w:p>
    <w:p>
      <w:pPr>
        <w:spacing w:after="70" w:line="250"/>
        <w:ind w:left="360" w:hanging="360"/>
        <w:jc w:val="left"/>
      </w:pPr>
      <w:r>
        <w:rPr>
          <w:rFonts w:ascii="Times New Roman" w:cs="Times New Roman" w:eastAsia="Times New Roman" w:hAnsi="Times New Roman"/>
          <w:color w:val="000000"/>
          <w:sz w:val="19"/>
          <w:szCs w:val="19"/>
        </w:rPr>
        <w:t xml:space="preserve">Collins, D.L., Zijdenbos, A.P., Kollokian, V., et al., 1998. Design and construction of a realistic digital brain phantom. IEEE Transactions on Medical Imaging 17(3), 463-468. </w:t>
      </w:r>
      <w:hyperlink w:history="1" r:id="rIdewgoqa7uqa-ifbpwnllu_">
        <w:r>
          <w:rPr>
            <w:rFonts w:ascii="Times New Roman" w:cs="Times New Roman" w:eastAsia="Times New Roman" w:hAnsi="Times New Roman"/>
            <w:color w:val="28598A"/>
            <w:sz w:val="19"/>
            <w:szCs w:val="19"/>
            <w:u w:val="single" w:color="28598A"/>
          </w:rPr>
          <w:t xml:space="preserve">https://doi.org/10.1109/42.712135</w:t>
        </w:r>
      </w:hyperlink>
    </w:p>
    <w:p>
      <w:pPr>
        <w:spacing w:after="70" w:line="250"/>
        <w:ind w:left="360" w:hanging="360"/>
        <w:jc w:val="left"/>
      </w:pPr>
      <w:r>
        <w:rPr>
          <w:rFonts w:ascii="Times New Roman" w:cs="Times New Roman" w:eastAsia="Times New Roman" w:hAnsi="Times New Roman"/>
          <w:color w:val="000000"/>
          <w:sz w:val="19"/>
          <w:szCs w:val="19"/>
        </w:rPr>
        <w:t xml:space="preserve">Deo, Y., Jia, Y., Lassila, T., et al., 2025. Metrics that matter: Evaluating image quality metrics for medical image generation. arXiv preprint. </w:t>
      </w:r>
      <w:hyperlink w:history="1" r:id="rIdi8nbzrvrbhsaxzthhlau-">
        <w:r>
          <w:rPr>
            <w:rFonts w:ascii="Times New Roman" w:cs="Times New Roman" w:eastAsia="Times New Roman" w:hAnsi="Times New Roman"/>
            <w:color w:val="28598A"/>
            <w:sz w:val="19"/>
            <w:szCs w:val="19"/>
            <w:u w:val="single" w:color="28598A"/>
          </w:rPr>
          <w:t xml:space="preserve">https://arxiv.org/abs/2505.07175</w:t>
        </w:r>
      </w:hyperlink>
    </w:p>
    <w:p>
      <w:pPr>
        <w:spacing w:after="70" w:line="250"/>
        <w:ind w:left="360" w:hanging="360"/>
        <w:jc w:val="left"/>
      </w:pPr>
      <w:r>
        <w:rPr>
          <w:rFonts w:ascii="Times New Roman" w:cs="Times New Roman" w:eastAsia="Times New Roman" w:hAnsi="Times New Roman"/>
          <w:color w:val="000000"/>
          <w:sz w:val="19"/>
          <w:szCs w:val="19"/>
        </w:rPr>
        <w:t xml:space="preserve">Dominguez-Olmedo, R., Dorner, F.E., Hardt, M., 2025. Training on the test task confounds evaluation and emergence. In: International Conference on Learning Representations (ICLR 2025). </w:t>
      </w:r>
      <w:hyperlink w:history="1" r:id="rId6a3f4ppxg1j5pgzms2prd">
        <w:r>
          <w:rPr>
            <w:rFonts w:ascii="Times New Roman" w:cs="Times New Roman" w:eastAsia="Times New Roman" w:hAnsi="Times New Roman"/>
            <w:color w:val="28598A"/>
            <w:sz w:val="19"/>
            <w:szCs w:val="19"/>
            <w:u w:val="single" w:color="28598A"/>
          </w:rPr>
          <w:t xml:space="preserve">https://arxiv.org/abs/2407.07890</w:t>
        </w:r>
      </w:hyperlink>
    </w:p>
    <w:p>
      <w:pPr>
        <w:spacing w:after="70" w:line="250"/>
        <w:ind w:left="360" w:hanging="360"/>
        <w:jc w:val="left"/>
      </w:pPr>
      <w:r>
        <w:rPr>
          <w:rFonts w:ascii="Times New Roman" w:cs="Times New Roman" w:eastAsia="Times New Roman" w:hAnsi="Times New Roman"/>
          <w:color w:val="000000"/>
          <w:sz w:val="19"/>
          <w:szCs w:val="19"/>
        </w:rPr>
        <w:t xml:space="preserve">Eisenmann, M., Reinke, A., Weru, V., et al., 2023. Why is the winner the best? In: Proceedings of the IEEE/CVF Conference on Computer Vision and Pattern Recognition (CVPR 2023), pp. 19955-19966. </w:t>
      </w:r>
      <w:hyperlink w:history="1" r:id="rIdebwnr6rdodqv2-6gkaqtv">
        <w:r>
          <w:rPr>
            <w:rFonts w:ascii="Times New Roman" w:cs="Times New Roman" w:eastAsia="Times New Roman" w:hAnsi="Times New Roman"/>
            <w:color w:val="28598A"/>
            <w:sz w:val="19"/>
            <w:szCs w:val="19"/>
            <w:u w:val="single" w:color="28598A"/>
          </w:rPr>
          <w:t xml:space="preserve">https://arxiv.org/abs/2303.17719</w:t>
        </w:r>
      </w:hyperlink>
    </w:p>
    <w:p>
      <w:pPr>
        <w:spacing w:after="70" w:line="250"/>
        <w:ind w:left="360" w:hanging="360"/>
        <w:jc w:val="left"/>
      </w:pPr>
      <w:r>
        <w:rPr>
          <w:rFonts w:ascii="Times New Roman" w:cs="Times New Roman" w:eastAsia="Times New Roman" w:hAnsi="Times New Roman"/>
          <w:color w:val="000000"/>
          <w:sz w:val="19"/>
          <w:szCs w:val="19"/>
        </w:rPr>
        <w:t xml:space="preserve">Fan, T., Wang, G., Li, Y., Wang, H., 2020. MA-Net: A multi-scale attention network for liver and tumor segmentation. IEEE Access 8, 179656-179665. </w:t>
      </w:r>
      <w:hyperlink w:history="1" r:id="rIdmu6mwmhbduubuqbmmbepq">
        <w:r>
          <w:rPr>
            <w:rFonts w:ascii="Times New Roman" w:cs="Times New Roman" w:eastAsia="Times New Roman" w:hAnsi="Times New Roman"/>
            <w:color w:val="28598A"/>
            <w:sz w:val="19"/>
            <w:szCs w:val="19"/>
            <w:u w:val="single" w:color="28598A"/>
          </w:rPr>
          <w:t xml:space="preserve">https://doi.org/10.1109/ACCESS.2020.3025372</w:t>
        </w:r>
      </w:hyperlink>
    </w:p>
    <w:p>
      <w:pPr>
        <w:spacing w:after="70" w:line="250"/>
        <w:ind w:left="360" w:hanging="360"/>
        <w:jc w:val="left"/>
      </w:pPr>
      <w:r>
        <w:rPr>
          <w:rFonts w:ascii="Times New Roman" w:cs="Times New Roman" w:eastAsia="Times New Roman" w:hAnsi="Times New Roman"/>
          <w:color w:val="000000"/>
          <w:sz w:val="19"/>
          <w:szCs w:val="19"/>
        </w:rPr>
        <w:t xml:space="preserve">Geirhos, R., Jacobsen, J.-H., Michaelis, C., et al., 2020. Shortcut learning in deep neural networks. Nature Machine Intelligence 2(11), 665-673. </w:t>
      </w:r>
      <w:hyperlink w:history="1" r:id="rIdebbbp-fege7q527ntios0">
        <w:r>
          <w:rPr>
            <w:rFonts w:ascii="Times New Roman" w:cs="Times New Roman" w:eastAsia="Times New Roman" w:hAnsi="Times New Roman"/>
            <w:color w:val="28598A"/>
            <w:sz w:val="19"/>
            <w:szCs w:val="19"/>
            <w:u w:val="single" w:color="28598A"/>
          </w:rPr>
          <w:t xml:space="preserve">https://doi.org/10.1038/s42256-020-00257-z</w:t>
        </w:r>
      </w:hyperlink>
    </w:p>
    <w:p>
      <w:pPr>
        <w:spacing w:after="70" w:line="250"/>
        <w:ind w:left="360" w:hanging="360"/>
        <w:jc w:val="left"/>
      </w:pPr>
      <w:r>
        <w:rPr>
          <w:rFonts w:ascii="Times New Roman" w:cs="Times New Roman" w:eastAsia="Times New Roman" w:hAnsi="Times New Roman"/>
          <w:color w:val="000000"/>
          <w:sz w:val="19"/>
          <w:szCs w:val="19"/>
        </w:rPr>
        <w:t xml:space="preserve">Gong, H., Chen, G., Wang, R., et al., 2021. Multi-task learning for thyroid nodule segmentation with thyroid region prior. In: 2021 IEEE 18th International Symposium on Biomedical Imaging (ISBI), pp. 257-261. </w:t>
      </w:r>
      <w:hyperlink w:history="1" r:id="rIdkp_lw7y40sohb2t0t9d-8">
        <w:r>
          <w:rPr>
            <w:rFonts w:ascii="Times New Roman" w:cs="Times New Roman" w:eastAsia="Times New Roman" w:hAnsi="Times New Roman"/>
            <w:color w:val="28598A"/>
            <w:sz w:val="19"/>
            <w:szCs w:val="19"/>
            <w:u w:val="single" w:color="28598A"/>
          </w:rPr>
          <w:t xml:space="preserve">https://doi.org/10.1109/ISBI48211.2021.9434087</w:t>
        </w:r>
      </w:hyperlink>
    </w:p>
    <w:p>
      <w:pPr>
        <w:spacing w:after="70" w:line="250"/>
        <w:ind w:left="360" w:hanging="360"/>
        <w:jc w:val="left"/>
      </w:pPr>
      <w:r>
        <w:rPr>
          <w:rFonts w:ascii="Times New Roman" w:cs="Times New Roman" w:eastAsia="Times New Roman" w:hAnsi="Times New Roman"/>
          <w:color w:val="000000"/>
          <w:sz w:val="19"/>
          <w:szCs w:val="19"/>
        </w:rPr>
        <w:t xml:space="preserve">He, K., Zhang, X., Ren, S., Sun, J., 2016. Deep residual learning for image recognition. In: Proceedings of the IEEE Conference on Computer Vision and Pattern Recognition (CVPR), pp. 770-778. </w:t>
      </w:r>
      <w:hyperlink w:history="1" r:id="rIdsuu9kyvtxe6l0ybfned28">
        <w:r>
          <w:rPr>
            <w:rFonts w:ascii="Times New Roman" w:cs="Times New Roman" w:eastAsia="Times New Roman" w:hAnsi="Times New Roman"/>
            <w:color w:val="28598A"/>
            <w:sz w:val="19"/>
            <w:szCs w:val="19"/>
            <w:u w:val="single" w:color="28598A"/>
          </w:rPr>
          <w:t xml:space="preserve">https://doi.org/10.1109/CVPR.2016.90</w:t>
        </w:r>
      </w:hyperlink>
    </w:p>
    <w:p>
      <w:pPr>
        <w:spacing w:after="70" w:line="250"/>
        <w:ind w:left="360" w:hanging="360"/>
        <w:jc w:val="left"/>
      </w:pPr>
      <w:r>
        <w:rPr>
          <w:rFonts w:ascii="Times New Roman" w:cs="Times New Roman" w:eastAsia="Times New Roman" w:hAnsi="Times New Roman"/>
          <w:color w:val="000000"/>
          <w:sz w:val="19"/>
          <w:szCs w:val="19"/>
        </w:rPr>
        <w:t xml:space="preserve">Iakubovskii, P., 2019. Segmentation Models Pytorch. GitHub repository. </w:t>
      </w:r>
      <w:hyperlink w:history="1" r:id="rIdlqd-41y5_8cj5fgget1tk">
        <w:r>
          <w:rPr>
            <w:rFonts w:ascii="Times New Roman" w:cs="Times New Roman" w:eastAsia="Times New Roman" w:hAnsi="Times New Roman"/>
            <w:color w:val="28598A"/>
            <w:sz w:val="19"/>
            <w:szCs w:val="19"/>
            <w:u w:val="single" w:color="28598A"/>
          </w:rPr>
          <w:t xml:space="preserve">https://github.com/qubvel-org/segmentation_models.pytorch</w:t>
        </w:r>
      </w:hyperlink>
    </w:p>
    <w:p>
      <w:pPr>
        <w:spacing w:after="70" w:line="250"/>
        <w:ind w:left="360" w:hanging="360"/>
        <w:jc w:val="left"/>
      </w:pPr>
      <w:r>
        <w:rPr>
          <w:rFonts w:ascii="Times New Roman" w:cs="Times New Roman" w:eastAsia="Times New Roman" w:hAnsi="Times New Roman"/>
          <w:color w:val="000000"/>
          <w:sz w:val="19"/>
          <w:szCs w:val="19"/>
        </w:rPr>
        <w:t xml:space="preserve">Isensee, F., Jaeger, P.F., Kohl, S.A.A., Petersen, J., Maier-Hein, K.H., 2021. nnU-Net: A self-configuring method for deep learning-based biomedical image segmentation. Nature Methods 18(2), 203-211. </w:t>
      </w:r>
      <w:hyperlink w:history="1" r:id="rIdcdbux8efpk91ijghpeh4m">
        <w:r>
          <w:rPr>
            <w:rFonts w:ascii="Times New Roman" w:cs="Times New Roman" w:eastAsia="Times New Roman" w:hAnsi="Times New Roman"/>
            <w:color w:val="28598A"/>
            <w:sz w:val="19"/>
            <w:szCs w:val="19"/>
            <w:u w:val="single" w:color="28598A"/>
          </w:rPr>
          <w:t xml:space="preserve">https://doi.org/10.1038/s41592-020-01008-z</w:t>
        </w:r>
      </w:hyperlink>
    </w:p>
    <w:p>
      <w:pPr>
        <w:spacing w:after="70" w:line="250"/>
        <w:ind w:left="360" w:hanging="360"/>
        <w:jc w:val="left"/>
      </w:pPr>
      <w:r>
        <w:rPr>
          <w:rFonts w:ascii="Times New Roman" w:cs="Times New Roman" w:eastAsia="Times New Roman" w:hAnsi="Times New Roman"/>
          <w:color w:val="000000"/>
          <w:sz w:val="19"/>
          <w:szCs w:val="19"/>
        </w:rPr>
        <w:t xml:space="preserve">Isensee, F., Wald, T., Ulrich, C., et al., 2024. nnU-Net revisited: A call for rigorous validation in 3D medical image segmentation. In: Medical Image Computing and Computer Assisted Intervention, MICCAI 2024. Lecture Notes in Computer Science 15009, pp. 488-498. </w:t>
      </w:r>
      <w:hyperlink w:history="1" r:id="rIdhzadxlbq-gmjbbas1j1lc">
        <w:r>
          <w:rPr>
            <w:rFonts w:ascii="Times New Roman" w:cs="Times New Roman" w:eastAsia="Times New Roman" w:hAnsi="Times New Roman"/>
            <w:color w:val="28598A"/>
            <w:sz w:val="19"/>
            <w:szCs w:val="19"/>
            <w:u w:val="single" w:color="28598A"/>
          </w:rPr>
          <w:t xml:space="preserve">https://doi.org/10.1007/978-3-031-72114-4_47</w:t>
        </w:r>
      </w:hyperlink>
    </w:p>
    <w:p>
      <w:pPr>
        <w:spacing w:after="70" w:line="250"/>
        <w:ind w:left="360" w:hanging="360"/>
        <w:jc w:val="left"/>
      </w:pPr>
      <w:r>
        <w:rPr>
          <w:rFonts w:ascii="Times New Roman" w:cs="Times New Roman" w:eastAsia="Times New Roman" w:hAnsi="Times New Roman"/>
          <w:color w:val="000000"/>
          <w:sz w:val="19"/>
          <w:szCs w:val="19"/>
        </w:rPr>
        <w:t xml:space="preserve">Jha, D., Smedsrud, P.H., Riegler, M.A., Halvorsen, P., de Lange, T., Johansen, D., Johansen, H.D., 2020. Kvasir-SEG: A segmented polyp dataset. In: MultiMedia Modeling, MMM 2020. Lecture Notes in Computer Science 11962, pp. 451-462. </w:t>
      </w:r>
      <w:hyperlink w:history="1" r:id="rId02p-odp0tqmvylmaohlct">
        <w:r>
          <w:rPr>
            <w:rFonts w:ascii="Times New Roman" w:cs="Times New Roman" w:eastAsia="Times New Roman" w:hAnsi="Times New Roman"/>
            <w:color w:val="28598A"/>
            <w:sz w:val="19"/>
            <w:szCs w:val="19"/>
            <w:u w:val="single" w:color="28598A"/>
          </w:rPr>
          <w:t xml:space="preserve">https://doi.org/10.1007/978-3-030-37734-2_37</w:t>
        </w:r>
      </w:hyperlink>
    </w:p>
    <w:p>
      <w:pPr>
        <w:spacing w:after="70" w:line="250"/>
        <w:ind w:left="360" w:hanging="360"/>
        <w:jc w:val="left"/>
      </w:pPr>
      <w:r>
        <w:rPr>
          <w:rFonts w:ascii="Times New Roman" w:cs="Times New Roman" w:eastAsia="Times New Roman" w:hAnsi="Times New Roman"/>
          <w:color w:val="000000"/>
          <w:sz w:val="19"/>
          <w:szCs w:val="19"/>
        </w:rPr>
        <w:t xml:space="preserve">Kang, C., 2022. Is synthetic dataset reliable for benchmarking generalizable person re-identification? arXiv preprint. </w:t>
      </w:r>
      <w:hyperlink w:history="1" r:id="rId_845cuijkfxwcmnuurjzj">
        <w:r>
          <w:rPr>
            <w:rFonts w:ascii="Times New Roman" w:cs="Times New Roman" w:eastAsia="Times New Roman" w:hAnsi="Times New Roman"/>
            <w:color w:val="28598A"/>
            <w:sz w:val="19"/>
            <w:szCs w:val="19"/>
            <w:u w:val="single" w:color="28598A"/>
          </w:rPr>
          <w:t xml:space="preserve">https://arxiv.org/abs/2209.05047</w:t>
        </w:r>
      </w:hyperlink>
    </w:p>
    <w:p>
      <w:pPr>
        <w:spacing w:after="70" w:line="250"/>
        <w:ind w:left="360" w:hanging="360"/>
        <w:jc w:val="left"/>
      </w:pPr>
      <w:r>
        <w:rPr>
          <w:rFonts w:ascii="Times New Roman" w:cs="Times New Roman" w:eastAsia="Times New Roman" w:hAnsi="Times New Roman"/>
          <w:color w:val="000000"/>
          <w:sz w:val="19"/>
          <w:szCs w:val="19"/>
        </w:rPr>
        <w:t xml:space="preserve">Kendrick, C., Cassidy, B., Pappachan, J.M., et al., 2022. Translating clinical delineation of diabetic foot ulcers into machine interpretable segmentation. arXiv preprint. </w:t>
      </w:r>
      <w:hyperlink w:history="1" r:id="rIdgswxxxaoxqb3yo_kn7oue">
        <w:r>
          <w:rPr>
            <w:rFonts w:ascii="Times New Roman" w:cs="Times New Roman" w:eastAsia="Times New Roman" w:hAnsi="Times New Roman"/>
            <w:color w:val="28598A"/>
            <w:sz w:val="19"/>
            <w:szCs w:val="19"/>
            <w:u w:val="single" w:color="28598A"/>
          </w:rPr>
          <w:t xml:space="preserve">https://arxiv.org/abs/2204.11618</w:t>
        </w:r>
      </w:hyperlink>
    </w:p>
    <w:p>
      <w:pPr>
        <w:spacing w:after="70" w:line="250"/>
        <w:ind w:left="360" w:hanging="360"/>
        <w:jc w:val="left"/>
      </w:pPr>
      <w:r>
        <w:rPr>
          <w:rFonts w:ascii="Times New Roman" w:cs="Times New Roman" w:eastAsia="Times New Roman" w:hAnsi="Times New Roman"/>
          <w:color w:val="000000"/>
          <w:sz w:val="19"/>
          <w:szCs w:val="19"/>
        </w:rPr>
        <w:t xml:space="preserve">Lin, T.-Y., Dollár, P., Girshick, R., He, K., Hariharan, B., Belongie, S., 2017. Feature pyramid networks for object detection. In: Proceedings of the IEEE Conference on Computer Vision and Pattern Recognition (CVPR), pp. 936-944. </w:t>
      </w:r>
      <w:hyperlink w:history="1" r:id="rId61j3n9fhul8fs_rft-cqp">
        <w:r>
          <w:rPr>
            <w:rFonts w:ascii="Times New Roman" w:cs="Times New Roman" w:eastAsia="Times New Roman" w:hAnsi="Times New Roman"/>
            <w:color w:val="28598A"/>
            <w:sz w:val="19"/>
            <w:szCs w:val="19"/>
            <w:u w:val="single" w:color="28598A"/>
          </w:rPr>
          <w:t xml:space="preserve">https://doi.org/10.1109/CVPR.2017.106</w:t>
        </w:r>
      </w:hyperlink>
    </w:p>
    <w:p>
      <w:pPr>
        <w:spacing w:after="70" w:line="250"/>
        <w:ind w:left="360" w:hanging="360"/>
        <w:jc w:val="left"/>
      </w:pPr>
      <w:r>
        <w:rPr>
          <w:rFonts w:ascii="Times New Roman" w:cs="Times New Roman" w:eastAsia="Times New Roman" w:hAnsi="Times New Roman"/>
          <w:color w:val="000000"/>
          <w:sz w:val="19"/>
          <w:szCs w:val="19"/>
        </w:rPr>
        <w:t xml:space="preserve">Liu, B., Dolz, J., Galdran, A., Kobbi, R., Ben Ayed, I., 2024. Do we really need Dice? The hidden region-size biases of segmentation losses. Medical Image Analysis 91, 103015. </w:t>
      </w:r>
      <w:hyperlink w:history="1" r:id="rId8q0ekplmrhhuwrx-jcsof">
        <w:r>
          <w:rPr>
            <w:rFonts w:ascii="Times New Roman" w:cs="Times New Roman" w:eastAsia="Times New Roman" w:hAnsi="Times New Roman"/>
            <w:color w:val="28598A"/>
            <w:sz w:val="19"/>
            <w:szCs w:val="19"/>
            <w:u w:val="single" w:color="28598A"/>
          </w:rPr>
          <w:t xml:space="preserve">https://doi.org/10.1016/j.media.2023.103015</w:t>
        </w:r>
      </w:hyperlink>
    </w:p>
    <w:p>
      <w:pPr>
        <w:spacing w:after="70" w:line="250"/>
        <w:ind w:left="360" w:hanging="360"/>
        <w:jc w:val="left"/>
      </w:pPr>
      <w:r>
        <w:rPr>
          <w:rFonts w:ascii="Times New Roman" w:cs="Times New Roman" w:eastAsia="Times New Roman" w:hAnsi="Times New Roman"/>
          <w:color w:val="000000"/>
          <w:sz w:val="19"/>
          <w:szCs w:val="19"/>
        </w:rPr>
        <w:t xml:space="preserve">Lucho, S., Naemi, R., Castaneda, B., Treuillet, S., 2024. Can deep learning wound segmentation algorithms developed for a dataset be effective for another dataset? A specific focus on diabetic foot ulcers. IEEE Access 12, 173824-173835. </w:t>
      </w:r>
      <w:hyperlink w:history="1" r:id="rIdvinu-trtk8nyc0gbbjrex">
        <w:r>
          <w:rPr>
            <w:rFonts w:ascii="Times New Roman" w:cs="Times New Roman" w:eastAsia="Times New Roman" w:hAnsi="Times New Roman"/>
            <w:color w:val="28598A"/>
            <w:sz w:val="19"/>
            <w:szCs w:val="19"/>
            <w:u w:val="single" w:color="28598A"/>
          </w:rPr>
          <w:t xml:space="preserve">https://doi.org/10.1109/ACCESS.2024.3502467</w:t>
        </w:r>
      </w:hyperlink>
    </w:p>
    <w:p>
      <w:pPr>
        <w:spacing w:after="70" w:line="250"/>
        <w:ind w:left="360" w:hanging="360"/>
        <w:jc w:val="left"/>
      </w:pPr>
      <w:r>
        <w:rPr>
          <w:rFonts w:ascii="Times New Roman" w:cs="Times New Roman" w:eastAsia="Times New Roman" w:hAnsi="Times New Roman"/>
          <w:color w:val="000000"/>
          <w:sz w:val="19"/>
          <w:szCs w:val="19"/>
        </w:rPr>
        <w:t xml:space="preserve">Maheshwari, G., Ivanov, D., El Haddad, K., 2024. Efficacy of synthetic data as a benchmark. arXiv preprint. </w:t>
      </w:r>
      <w:hyperlink w:history="1" r:id="rIdblz-wzzszfgpmuf52omna">
        <w:r>
          <w:rPr>
            <w:rFonts w:ascii="Times New Roman" w:cs="Times New Roman" w:eastAsia="Times New Roman" w:hAnsi="Times New Roman"/>
            <w:color w:val="28598A"/>
            <w:sz w:val="19"/>
            <w:szCs w:val="19"/>
            <w:u w:val="single" w:color="28598A"/>
          </w:rPr>
          <w:t xml:space="preserve">https://arxiv.org/abs/2409.11968</w:t>
        </w:r>
      </w:hyperlink>
    </w:p>
    <w:p>
      <w:pPr>
        <w:spacing w:after="70" w:line="250"/>
        <w:ind w:left="360" w:hanging="360"/>
        <w:jc w:val="left"/>
      </w:pPr>
      <w:r>
        <w:rPr>
          <w:rFonts w:ascii="Times New Roman" w:cs="Times New Roman" w:eastAsia="Times New Roman" w:hAnsi="Times New Roman"/>
          <w:color w:val="000000"/>
          <w:sz w:val="19"/>
          <w:szCs w:val="19"/>
        </w:rPr>
        <w:t xml:space="preserve">Maier-Hein, L., Eisenmann, M., Reinke, A., et al., 2018. Why rankings of biomedical image analysis competitions should be interpreted with care. Nature Communications 9, 5217. </w:t>
      </w:r>
      <w:hyperlink w:history="1" r:id="rIdq2a_kiupxjjuwxlffyf0v">
        <w:r>
          <w:rPr>
            <w:rFonts w:ascii="Times New Roman" w:cs="Times New Roman" w:eastAsia="Times New Roman" w:hAnsi="Times New Roman"/>
            <w:color w:val="28598A"/>
            <w:sz w:val="19"/>
            <w:szCs w:val="19"/>
            <w:u w:val="single" w:color="28598A"/>
          </w:rPr>
          <w:t xml:space="preserve">https://doi.org/10.1038/s41467-018-07619-7</w:t>
        </w:r>
      </w:hyperlink>
    </w:p>
    <w:p>
      <w:pPr>
        <w:spacing w:after="70" w:line="250"/>
        <w:ind w:left="360" w:hanging="360"/>
        <w:jc w:val="left"/>
      </w:pPr>
      <w:r>
        <w:rPr>
          <w:rFonts w:ascii="Times New Roman" w:cs="Times New Roman" w:eastAsia="Times New Roman" w:hAnsi="Times New Roman"/>
          <w:color w:val="000000"/>
          <w:sz w:val="19"/>
          <w:szCs w:val="19"/>
        </w:rPr>
        <w:t xml:space="preserve">Maier-Hein, L., Reinke, A., Kozubek, M., et al., 2020. BIAS: Transparent reporting of biomedical image analysis challenges. Medical Image Analysis 66, 101796. </w:t>
      </w:r>
      <w:hyperlink w:history="1" r:id="rIdf_zvr-otogb8eftftvism">
        <w:r>
          <w:rPr>
            <w:rFonts w:ascii="Times New Roman" w:cs="Times New Roman" w:eastAsia="Times New Roman" w:hAnsi="Times New Roman"/>
            <w:color w:val="28598A"/>
            <w:sz w:val="19"/>
            <w:szCs w:val="19"/>
            <w:u w:val="single" w:color="28598A"/>
          </w:rPr>
          <w:t xml:space="preserve">https://doi.org/10.1016/j.media.2020.101796</w:t>
        </w:r>
      </w:hyperlink>
    </w:p>
    <w:p>
      <w:pPr>
        <w:spacing w:after="70" w:line="250"/>
        <w:ind w:left="360" w:hanging="360"/>
        <w:jc w:val="left"/>
      </w:pPr>
      <w:r>
        <w:rPr>
          <w:rFonts w:ascii="Times New Roman" w:cs="Times New Roman" w:eastAsia="Times New Roman" w:hAnsi="Times New Roman"/>
          <w:color w:val="000000"/>
          <w:sz w:val="19"/>
          <w:szCs w:val="19"/>
        </w:rPr>
        <w:t xml:space="preserve">Maier-Hein, L., Reinke, A., Godau, P., et al., 2024. Metrics reloaded: Recommendations for image analysis validation. Nature Methods 21(2), 195-212. </w:t>
      </w:r>
      <w:hyperlink w:history="1" r:id="rIdxyqqfowss4qlf7bnbstvl">
        <w:r>
          <w:rPr>
            <w:rFonts w:ascii="Times New Roman" w:cs="Times New Roman" w:eastAsia="Times New Roman" w:hAnsi="Times New Roman"/>
            <w:color w:val="28598A"/>
            <w:sz w:val="19"/>
            <w:szCs w:val="19"/>
            <w:u w:val="single" w:color="28598A"/>
          </w:rPr>
          <w:t xml:space="preserve">https://doi.org/10.1038/s41592-023-02151-z</w:t>
        </w:r>
      </w:hyperlink>
    </w:p>
    <w:p>
      <w:pPr>
        <w:spacing w:after="70" w:line="250"/>
        <w:ind w:left="360" w:hanging="360"/>
        <w:jc w:val="left"/>
      </w:pPr>
      <w:r>
        <w:rPr>
          <w:rFonts w:ascii="Times New Roman" w:cs="Times New Roman" w:eastAsia="Times New Roman" w:hAnsi="Times New Roman"/>
          <w:color w:val="000000"/>
          <w:sz w:val="19"/>
          <w:szCs w:val="19"/>
        </w:rPr>
        <w:t xml:space="preserve">Medetec, 2014. Medetec wound database: medical image databases. Web resource, accessed 8 October 2026. </w:t>
      </w:r>
      <w:hyperlink w:history="1" r:id="rIdv0nlbxp63rjwokhekx-zp">
        <w:r>
          <w:rPr>
            <w:rFonts w:ascii="Times New Roman" w:cs="Times New Roman" w:eastAsia="Times New Roman" w:hAnsi="Times New Roman"/>
            <w:color w:val="28598A"/>
            <w:sz w:val="19"/>
            <w:szCs w:val="19"/>
            <w:u w:val="single" w:color="28598A"/>
          </w:rPr>
          <w:t xml:space="preserve">http://www.medetec.co.uk/files/medetec-image-databases.html</w:t>
        </w:r>
      </w:hyperlink>
    </w:p>
    <w:p>
      <w:pPr>
        <w:spacing w:after="70" w:line="250"/>
        <w:ind w:left="360" w:hanging="360"/>
        <w:jc w:val="left"/>
      </w:pPr>
      <w:r>
        <w:rPr>
          <w:rFonts w:ascii="Times New Roman" w:cs="Times New Roman" w:eastAsia="Times New Roman" w:hAnsi="Times New Roman"/>
          <w:color w:val="000000"/>
          <w:sz w:val="19"/>
          <w:szCs w:val="19"/>
        </w:rPr>
        <w:t xml:space="preserve">Mendonça, T., Ferreira, P.M., Marques, J.S., Marçal, A.R.S., Rozeira, J., 2013. PH2: A dermoscopic image database for research and benchmarking. In: 2013 35th Annual International Conference of the IEEE Engineering in Medicine and Biology Society (EMBC), pp. 5437-5440. </w:t>
      </w:r>
      <w:hyperlink w:history="1" r:id="rIdta6jc331ulavk7sbgkl5a">
        <w:r>
          <w:rPr>
            <w:rFonts w:ascii="Times New Roman" w:cs="Times New Roman" w:eastAsia="Times New Roman" w:hAnsi="Times New Roman"/>
            <w:color w:val="28598A"/>
            <w:sz w:val="19"/>
            <w:szCs w:val="19"/>
            <w:u w:val="single" w:color="28598A"/>
          </w:rPr>
          <w:t xml:space="preserve">https://doi.org/10.1109/EMBC.2013.6610779</w:t>
        </w:r>
      </w:hyperlink>
    </w:p>
    <w:p>
      <w:pPr>
        <w:spacing w:after="70" w:line="250"/>
        <w:ind w:left="360" w:hanging="360"/>
        <w:jc w:val="left"/>
      </w:pPr>
      <w:r>
        <w:rPr>
          <w:rFonts w:ascii="Times New Roman" w:cs="Times New Roman" w:eastAsia="Times New Roman" w:hAnsi="Times New Roman"/>
          <w:color w:val="000000"/>
          <w:sz w:val="19"/>
          <w:szCs w:val="19"/>
        </w:rPr>
        <w:t xml:space="preserve">Miller, J.P., Taori, R., Raghunathan, A., et al., 2021. Accuracy on the line: On the strong correlation between out-of-distribution and in-distribution generalization. In: Proceedings of the 38th International Conference on Machine Learning (ICML 2021), PMLR 139, pp. 7721-7735. </w:t>
      </w:r>
      <w:hyperlink w:history="1" r:id="rIdpvciuk80r7lzfww2utie_">
        <w:r>
          <w:rPr>
            <w:rFonts w:ascii="Times New Roman" w:cs="Times New Roman" w:eastAsia="Times New Roman" w:hAnsi="Times New Roman"/>
            <w:color w:val="28598A"/>
            <w:sz w:val="19"/>
            <w:szCs w:val="19"/>
            <w:u w:val="single" w:color="28598A"/>
          </w:rPr>
          <w:t xml:space="preserve">https://arxiv.org/abs/2107.04649</w:t>
        </w:r>
      </w:hyperlink>
    </w:p>
    <w:p>
      <w:pPr>
        <w:spacing w:after="70" w:line="250"/>
        <w:ind w:left="360" w:hanging="360"/>
        <w:jc w:val="left"/>
      </w:pPr>
      <w:r>
        <w:rPr>
          <w:rFonts w:ascii="Times New Roman" w:cs="Times New Roman" w:eastAsia="Times New Roman" w:hAnsi="Times New Roman"/>
          <w:color w:val="000000"/>
          <w:sz w:val="19"/>
          <w:szCs w:val="19"/>
        </w:rPr>
        <w:t xml:space="preserve">Nikolov, S., Blackwell, S., Zverovitch, A., et al., 2018. Deep learning to achieve clinically applicable segmentation of head and neck anatomy for radiotherapy. arXiv preprint. </w:t>
      </w:r>
      <w:hyperlink w:history="1" r:id="rIdcncjynujgbozkrsyyp4ud">
        <w:r>
          <w:rPr>
            <w:rFonts w:ascii="Times New Roman" w:cs="Times New Roman" w:eastAsia="Times New Roman" w:hAnsi="Times New Roman"/>
            <w:color w:val="28598A"/>
            <w:sz w:val="19"/>
            <w:szCs w:val="19"/>
            <w:u w:val="single" w:color="28598A"/>
          </w:rPr>
          <w:t xml:space="preserve">https://arxiv.org/abs/1809.04430</w:t>
        </w:r>
      </w:hyperlink>
    </w:p>
    <w:p>
      <w:pPr>
        <w:spacing w:after="70" w:line="250"/>
        <w:ind w:left="360" w:hanging="360"/>
        <w:jc w:val="left"/>
      </w:pPr>
      <w:r>
        <w:rPr>
          <w:rFonts w:ascii="Times New Roman" w:cs="Times New Roman" w:eastAsia="Times New Roman" w:hAnsi="Times New Roman"/>
          <w:color w:val="000000"/>
          <w:sz w:val="19"/>
          <w:szCs w:val="19"/>
        </w:rPr>
        <w:t xml:space="preserve">Nikolov, S., Blackwell, S., Zverovitch, A., et al., 2021. Clinically applicable segmentation of head and neck anatomy for radiotherapy: Deep learning algorithm development and validation study. Journal of Medical Internet Research 23(7), e26151. </w:t>
      </w:r>
      <w:hyperlink w:history="1" r:id="rIdtyxbcdgxg96txrpf6xinr">
        <w:r>
          <w:rPr>
            <w:rFonts w:ascii="Times New Roman" w:cs="Times New Roman" w:eastAsia="Times New Roman" w:hAnsi="Times New Roman"/>
            <w:color w:val="28598A"/>
            <w:sz w:val="19"/>
            <w:szCs w:val="19"/>
            <w:u w:val="single" w:color="28598A"/>
          </w:rPr>
          <w:t xml:space="preserve">https://doi.org/10.2196/26151</w:t>
        </w:r>
      </w:hyperlink>
    </w:p>
    <w:p>
      <w:pPr>
        <w:spacing w:after="70" w:line="250"/>
        <w:ind w:left="360" w:hanging="360"/>
        <w:jc w:val="left"/>
      </w:pPr>
      <w:r>
        <w:rPr>
          <w:rFonts w:ascii="Times New Roman" w:cs="Times New Roman" w:eastAsia="Times New Roman" w:hAnsi="Times New Roman"/>
          <w:color w:val="000000"/>
          <w:sz w:val="19"/>
          <w:szCs w:val="19"/>
        </w:rPr>
        <w:t xml:space="preserve">Perlitz, Y., Gera, A., Arviv, O., et al., 2024. Do these LLM benchmarks agree? Fixing benchmark evaluation with BenchBench. arXiv preprint. </w:t>
      </w:r>
      <w:hyperlink w:history="1" r:id="rIda6bcl3e7l-ownme-11ehv">
        <w:r>
          <w:rPr>
            <w:rFonts w:ascii="Times New Roman" w:cs="Times New Roman" w:eastAsia="Times New Roman" w:hAnsi="Times New Roman"/>
            <w:color w:val="28598A"/>
            <w:sz w:val="19"/>
            <w:szCs w:val="19"/>
            <w:u w:val="single" w:color="28598A"/>
          </w:rPr>
          <w:t xml:space="preserve">https://arxiv.org/abs/2407.13696</w:t>
        </w:r>
      </w:hyperlink>
    </w:p>
    <w:p>
      <w:pPr>
        <w:spacing w:after="70" w:line="250"/>
        <w:ind w:left="360" w:hanging="360"/>
        <w:jc w:val="left"/>
      </w:pPr>
      <w:r>
        <w:rPr>
          <w:rFonts w:ascii="Times New Roman" w:cs="Times New Roman" w:eastAsia="Times New Roman" w:hAnsi="Times New Roman"/>
          <w:color w:val="000000"/>
          <w:sz w:val="19"/>
          <w:szCs w:val="19"/>
        </w:rPr>
        <w:t xml:space="preserve">Piérard, S., Deliège, A., Halin, A., Van Droogenbroeck, M., 2025. A methodology to evaluate strategies predicting rankings on unseen domains. arXiv preprint. </w:t>
      </w:r>
      <w:hyperlink w:history="1" r:id="rId840kwopqmwyzbrzfhsto9">
        <w:r>
          <w:rPr>
            <w:rFonts w:ascii="Times New Roman" w:cs="Times New Roman" w:eastAsia="Times New Roman" w:hAnsi="Times New Roman"/>
            <w:color w:val="28598A"/>
            <w:sz w:val="19"/>
            <w:szCs w:val="19"/>
            <w:u w:val="single" w:color="28598A"/>
          </w:rPr>
          <w:t xml:space="preserve">https://arxiv.org/abs/2505.15595</w:t>
        </w:r>
      </w:hyperlink>
    </w:p>
    <w:p>
      <w:pPr>
        <w:spacing w:after="70" w:line="250"/>
        <w:ind w:left="360" w:hanging="360"/>
        <w:jc w:val="left"/>
      </w:pPr>
      <w:r>
        <w:rPr>
          <w:rFonts w:ascii="Times New Roman" w:cs="Times New Roman" w:eastAsia="Times New Roman" w:hAnsi="Times New Roman"/>
          <w:color w:val="000000"/>
          <w:sz w:val="19"/>
          <w:szCs w:val="19"/>
        </w:rPr>
        <w:t xml:space="preserve">Prakash, A., Boochoon, S., Brophy, M., et al., 2019. Structured domain randomization: Bridging the reality gap by context-aware synthetic data. In: 2019 International Conference on Robotics and Automation (ICRA). </w:t>
      </w:r>
      <w:hyperlink w:history="1" r:id="rIdw-jvidiswjlt0rnuhwybj">
        <w:r>
          <w:rPr>
            <w:rFonts w:ascii="Times New Roman" w:cs="Times New Roman" w:eastAsia="Times New Roman" w:hAnsi="Times New Roman"/>
            <w:color w:val="28598A"/>
            <w:sz w:val="19"/>
            <w:szCs w:val="19"/>
            <w:u w:val="single" w:color="28598A"/>
          </w:rPr>
          <w:t xml:space="preserve">https://doi.org/10.1109/ICRA.2019.8794443</w:t>
        </w:r>
      </w:hyperlink>
    </w:p>
    <w:p>
      <w:pPr>
        <w:spacing w:after="70" w:line="250"/>
        <w:ind w:left="360" w:hanging="360"/>
        <w:jc w:val="left"/>
      </w:pPr>
      <w:r>
        <w:rPr>
          <w:rFonts w:ascii="Times New Roman" w:cs="Times New Roman" w:eastAsia="Times New Roman" w:hAnsi="Times New Roman"/>
          <w:color w:val="000000"/>
          <w:sz w:val="19"/>
          <w:szCs w:val="19"/>
        </w:rPr>
        <w:t xml:space="preserve">Raina, V., Molchanova, N., Graziani, M., et al., 2023. Tackling bias in the Dice similarity coefficient: Introducing nDSC for white matter lesion segmentation. In: IEEE International Symposium on Biomedical Imaging (ISBI 2023), pp. 1-5. </w:t>
      </w:r>
      <w:hyperlink w:history="1" r:id="rIdhdfzazzth0enlyoe6drwt">
        <w:r>
          <w:rPr>
            <w:rFonts w:ascii="Times New Roman" w:cs="Times New Roman" w:eastAsia="Times New Roman" w:hAnsi="Times New Roman"/>
            <w:color w:val="28598A"/>
            <w:sz w:val="19"/>
            <w:szCs w:val="19"/>
            <w:u w:val="single" w:color="28598A"/>
          </w:rPr>
          <w:t xml:space="preserve">https://arxiv.org/abs/2302.05432</w:t>
        </w:r>
      </w:hyperlink>
    </w:p>
    <w:p>
      <w:pPr>
        <w:spacing w:after="70" w:line="250"/>
        <w:ind w:left="360" w:hanging="360"/>
        <w:jc w:val="left"/>
      </w:pPr>
      <w:r>
        <w:rPr>
          <w:rFonts w:ascii="Times New Roman" w:cs="Times New Roman" w:eastAsia="Times New Roman" w:hAnsi="Times New Roman"/>
          <w:color w:val="000000"/>
          <w:sz w:val="19"/>
          <w:szCs w:val="19"/>
        </w:rPr>
        <w:t xml:space="preserve">Recht, B., Roelofs, R., Schmidt, L., Shankar, V., 2019. Do ImageNet classifiers generalize to ImageNet? In: Proceedings of the 36th International Conference on Machine Learning (ICML 2019), PMLR 97, pp. 5389-5400. </w:t>
      </w:r>
      <w:hyperlink w:history="1" r:id="rIdqchqo-jqw8higej6e8xkp">
        <w:r>
          <w:rPr>
            <w:rFonts w:ascii="Times New Roman" w:cs="Times New Roman" w:eastAsia="Times New Roman" w:hAnsi="Times New Roman"/>
            <w:color w:val="28598A"/>
            <w:sz w:val="19"/>
            <w:szCs w:val="19"/>
            <w:u w:val="single" w:color="28598A"/>
          </w:rPr>
          <w:t xml:space="preserve">https://arxiv.org/abs/1902.10811</w:t>
        </w:r>
      </w:hyperlink>
    </w:p>
    <w:p>
      <w:pPr>
        <w:spacing w:after="70" w:line="250"/>
        <w:ind w:left="360" w:hanging="360"/>
        <w:jc w:val="left"/>
      </w:pPr>
      <w:r>
        <w:rPr>
          <w:rFonts w:ascii="Times New Roman" w:cs="Times New Roman" w:eastAsia="Times New Roman" w:hAnsi="Times New Roman"/>
          <w:color w:val="000000"/>
          <w:sz w:val="19"/>
          <w:szCs w:val="19"/>
        </w:rPr>
        <w:t xml:space="preserve">Reinke, A., Tizabi, M.D., Baumgartner, M., et al., 2024. Understanding metric-related pitfalls in image analysis validation. Nature Methods 21(2), 182-194. </w:t>
      </w:r>
      <w:hyperlink w:history="1" r:id="rIdeosiezuxvxoatpjyqxrng">
        <w:r>
          <w:rPr>
            <w:rFonts w:ascii="Times New Roman" w:cs="Times New Roman" w:eastAsia="Times New Roman" w:hAnsi="Times New Roman"/>
            <w:color w:val="28598A"/>
            <w:sz w:val="19"/>
            <w:szCs w:val="19"/>
            <w:u w:val="single" w:color="28598A"/>
          </w:rPr>
          <w:t xml:space="preserve">https://doi.org/10.1038/s41592-023-02150-0</w:t>
        </w:r>
      </w:hyperlink>
    </w:p>
    <w:p>
      <w:pPr>
        <w:spacing w:after="70" w:line="250"/>
        <w:ind w:left="360" w:hanging="360"/>
        <w:jc w:val="left"/>
      </w:pPr>
      <w:r>
        <w:rPr>
          <w:rFonts w:ascii="Times New Roman" w:cs="Times New Roman" w:eastAsia="Times New Roman" w:hAnsi="Times New Roman"/>
          <w:color w:val="000000"/>
          <w:sz w:val="19"/>
          <w:szCs w:val="19"/>
        </w:rPr>
        <w:t xml:space="preserve">Ronneberger, O., Fischer, P., Brox, T., 2015. U-Net: Convolutional networks for biomedical image segmentation. In: Medical Image Computing and Computer-Assisted Intervention, MICCAI 2015. Lecture Notes in Computer Science 9351, pp. 234-241. </w:t>
      </w:r>
      <w:hyperlink w:history="1" r:id="rIdjxlzx2u20lsk1zmrourly">
        <w:r>
          <w:rPr>
            <w:rFonts w:ascii="Times New Roman" w:cs="Times New Roman" w:eastAsia="Times New Roman" w:hAnsi="Times New Roman"/>
            <w:color w:val="28598A"/>
            <w:sz w:val="19"/>
            <w:szCs w:val="19"/>
            <w:u w:val="single" w:color="28598A"/>
          </w:rPr>
          <w:t xml:space="preserve">https://doi.org/10.1007/978-3-319-24574-4_28</w:t>
        </w:r>
      </w:hyperlink>
    </w:p>
    <w:p>
      <w:pPr>
        <w:spacing w:after="70" w:line="250"/>
        <w:ind w:left="360" w:hanging="360"/>
        <w:jc w:val="left"/>
      </w:pPr>
      <w:r>
        <w:rPr>
          <w:rFonts w:ascii="Times New Roman" w:cs="Times New Roman" w:eastAsia="Times New Roman" w:hAnsi="Times New Roman"/>
          <w:color w:val="000000"/>
          <w:sz w:val="19"/>
          <w:szCs w:val="19"/>
        </w:rPr>
        <w:t xml:space="preserve">Sandler, M., Howard, A., Zhu, M., Zhmoginov, A., Chen, L.-C., 2018. MobileNetV2: Inverted residuals and linear bottlenecks. In: Proceedings of the IEEE/CVF Conference on Computer Vision and Pattern Recognition (CVPR), pp. 4510-4520. </w:t>
      </w:r>
      <w:hyperlink w:history="1" r:id="rIdffim8hlbdc-f2yeeccdhj">
        <w:r>
          <w:rPr>
            <w:rFonts w:ascii="Times New Roman" w:cs="Times New Roman" w:eastAsia="Times New Roman" w:hAnsi="Times New Roman"/>
            <w:color w:val="28598A"/>
            <w:sz w:val="19"/>
            <w:szCs w:val="19"/>
            <w:u w:val="single" w:color="28598A"/>
          </w:rPr>
          <w:t xml:space="preserve">https://doi.org/10.1109/CVPR.2018.00474</w:t>
        </w:r>
      </w:hyperlink>
    </w:p>
    <w:p>
      <w:pPr>
        <w:spacing w:after="70" w:line="250"/>
        <w:ind w:left="360" w:hanging="360"/>
        <w:jc w:val="left"/>
      </w:pPr>
      <w:r>
        <w:rPr>
          <w:rFonts w:ascii="Times New Roman" w:cs="Times New Roman" w:eastAsia="Times New Roman" w:hAnsi="Times New Roman"/>
          <w:color w:val="000000"/>
          <w:sz w:val="19"/>
          <w:szCs w:val="19"/>
        </w:rPr>
        <w:t xml:space="preserve">Sarp, S., Kuzlu, M., Wilson, E., Guler, O., 2021. WG2AN: Synthetic wound image generation using generative adversarial network. The Journal of Engineering 2021(5), 286-294. </w:t>
      </w:r>
      <w:hyperlink w:history="1" r:id="rIdldhvhuenadr5aayfiiegc">
        <w:r>
          <w:rPr>
            <w:rFonts w:ascii="Times New Roman" w:cs="Times New Roman" w:eastAsia="Times New Roman" w:hAnsi="Times New Roman"/>
            <w:color w:val="28598A"/>
            <w:sz w:val="19"/>
            <w:szCs w:val="19"/>
            <w:u w:val="single" w:color="28598A"/>
          </w:rPr>
          <w:t xml:space="preserve">https://doi.org/10.1049/tje2.12033</w:t>
        </w:r>
      </w:hyperlink>
    </w:p>
    <w:p>
      <w:pPr>
        <w:spacing w:after="70" w:line="250"/>
        <w:ind w:left="360" w:hanging="360"/>
        <w:jc w:val="left"/>
      </w:pPr>
      <w:r>
        <w:rPr>
          <w:rFonts w:ascii="Times New Roman" w:cs="Times New Roman" w:eastAsia="Times New Roman" w:hAnsi="Times New Roman"/>
          <w:color w:val="000000"/>
          <w:sz w:val="19"/>
          <w:szCs w:val="19"/>
        </w:rPr>
        <w:t xml:space="preserve">Shoshan, A., Bhonker, N., Kviatkovsky, I., Fintz, M., Medioni, G., 2023. Synthetic data for model selection. In: Proceedings of the 40th International Conference on Machine Learning (ICML 2023), PMLR 202, pp. 31633-31656. </w:t>
      </w:r>
      <w:hyperlink w:history="1" r:id="rId7yatxzh0w0bxpjou2_e1r">
        <w:r>
          <w:rPr>
            <w:rFonts w:ascii="Times New Roman" w:cs="Times New Roman" w:eastAsia="Times New Roman" w:hAnsi="Times New Roman"/>
            <w:color w:val="28598A"/>
            <w:sz w:val="19"/>
            <w:szCs w:val="19"/>
            <w:u w:val="single" w:color="28598A"/>
          </w:rPr>
          <w:t xml:space="preserve">https://arxiv.org/abs/2105.00717</w:t>
        </w:r>
      </w:hyperlink>
    </w:p>
    <w:p>
      <w:pPr>
        <w:spacing w:after="70" w:line="250"/>
        <w:ind w:left="360" w:hanging="360"/>
        <w:jc w:val="left"/>
      </w:pPr>
      <w:r>
        <w:rPr>
          <w:rFonts w:ascii="Times New Roman" w:cs="Times New Roman" w:eastAsia="Times New Roman" w:hAnsi="Times New Roman"/>
          <w:color w:val="000000"/>
          <w:sz w:val="19"/>
          <w:szCs w:val="19"/>
        </w:rPr>
        <w:t xml:space="preserve">Silva, J., Histace, A., Romain, O., Dray, X., Granado, B., 2014. Toward embedded detection of polyps in WCE images for early diagnosis of colorectal cancer. International Journal of Computer Assisted Radiology and Surgery 9(2), 283-293. </w:t>
      </w:r>
      <w:hyperlink w:history="1" r:id="rIdloogdnxatqsbpmsemeup_">
        <w:r>
          <w:rPr>
            <w:rFonts w:ascii="Times New Roman" w:cs="Times New Roman" w:eastAsia="Times New Roman" w:hAnsi="Times New Roman"/>
            <w:color w:val="28598A"/>
            <w:sz w:val="19"/>
            <w:szCs w:val="19"/>
            <w:u w:val="single" w:color="28598A"/>
          </w:rPr>
          <w:t xml:space="preserve">https://doi.org/10.1007/s11548-013-0926-3</w:t>
        </w:r>
      </w:hyperlink>
    </w:p>
    <w:p>
      <w:pPr>
        <w:spacing w:after="70" w:line="250"/>
        <w:ind w:left="360" w:hanging="360"/>
        <w:jc w:val="left"/>
      </w:pPr>
      <w:r>
        <w:rPr>
          <w:rFonts w:ascii="Times New Roman" w:cs="Times New Roman" w:eastAsia="Times New Roman" w:hAnsi="Times New Roman"/>
          <w:color w:val="000000"/>
          <w:sz w:val="19"/>
          <w:szCs w:val="19"/>
        </w:rPr>
        <w:t xml:space="preserve">Tan, M., Le, Q., 2019. EfficientNet: Rethinking model scaling for convolutional neural networks. In: Proceedings of the 36th International Conference on Machine Learning (ICML 2019), PMLR 97, pp. 6105-6114. </w:t>
      </w:r>
      <w:hyperlink w:history="1" r:id="rIddetdgarf2sac4gvp491qp">
        <w:r>
          <w:rPr>
            <w:rFonts w:ascii="Times New Roman" w:cs="Times New Roman" w:eastAsia="Times New Roman" w:hAnsi="Times New Roman"/>
            <w:color w:val="28598A"/>
            <w:sz w:val="19"/>
            <w:szCs w:val="19"/>
            <w:u w:val="single" w:color="28598A"/>
          </w:rPr>
          <w:t xml:space="preserve">https://arxiv.org/abs/1905.11946</w:t>
        </w:r>
      </w:hyperlink>
    </w:p>
    <w:p>
      <w:pPr>
        <w:spacing w:after="70" w:line="250"/>
        <w:ind w:left="360" w:hanging="360"/>
        <w:jc w:val="left"/>
      </w:pPr>
      <w:r>
        <w:rPr>
          <w:rFonts w:ascii="Times New Roman" w:cs="Times New Roman" w:eastAsia="Times New Roman" w:hAnsi="Times New Roman"/>
          <w:color w:val="000000"/>
          <w:sz w:val="19"/>
          <w:szCs w:val="19"/>
        </w:rPr>
        <w:t xml:space="preserve">Taori, R., Dave, A., Shankar, V., Carlini, N., Recht, B., Schmidt, L., 2020. Measuring robustness to natural distribution shifts in image classification. In: Advances in Neural Information Processing Systems 33 (NeurIPS 2020), pp. 18583-18599. </w:t>
      </w:r>
      <w:hyperlink w:history="1" r:id="rIdphm4elf10mfk5sy-3p3un">
        <w:r>
          <w:rPr>
            <w:rFonts w:ascii="Times New Roman" w:cs="Times New Roman" w:eastAsia="Times New Roman" w:hAnsi="Times New Roman"/>
            <w:color w:val="28598A"/>
            <w:sz w:val="19"/>
            <w:szCs w:val="19"/>
            <w:u w:val="single" w:color="28598A"/>
          </w:rPr>
          <w:t xml:space="preserve">https://arxiv.org/abs/2007.00644</w:t>
        </w:r>
      </w:hyperlink>
    </w:p>
    <w:p>
      <w:pPr>
        <w:spacing w:after="70" w:line="250"/>
        <w:ind w:left="360" w:hanging="360"/>
        <w:jc w:val="left"/>
      </w:pPr>
      <w:r>
        <w:rPr>
          <w:rFonts w:ascii="Times New Roman" w:cs="Times New Roman" w:eastAsia="Times New Roman" w:hAnsi="Times New Roman"/>
          <w:color w:val="000000"/>
          <w:sz w:val="19"/>
          <w:szCs w:val="19"/>
        </w:rPr>
        <w:t xml:space="preserve">Teney, D., Lin, Y., Oh, S.J., Abbasnejad, E., 2023. ID and OOD performance are sometimes inversely correlated on real-world datasets. In: Advances in Neural Information Processing Systems 36 (NeurIPS 2023). </w:t>
      </w:r>
      <w:hyperlink w:history="1" r:id="rId7r3qr-f_dapjxjnzfd_fc">
        <w:r>
          <w:rPr>
            <w:rFonts w:ascii="Times New Roman" w:cs="Times New Roman" w:eastAsia="Times New Roman" w:hAnsi="Times New Roman"/>
            <w:color w:val="28598A"/>
            <w:sz w:val="19"/>
            <w:szCs w:val="19"/>
            <w:u w:val="single" w:color="28598A"/>
          </w:rPr>
          <w:t xml:space="preserve">https://arxiv.org/abs/2209.00613</w:t>
        </w:r>
      </w:hyperlink>
    </w:p>
    <w:p>
      <w:pPr>
        <w:spacing w:after="70" w:line="250"/>
        <w:ind w:left="360" w:hanging="360"/>
        <w:jc w:val="left"/>
      </w:pPr>
      <w:r>
        <w:rPr>
          <w:rFonts w:ascii="Times New Roman" w:cs="Times New Roman" w:eastAsia="Times New Roman" w:hAnsi="Times New Roman"/>
          <w:color w:val="000000"/>
          <w:sz w:val="19"/>
          <w:szCs w:val="19"/>
        </w:rPr>
        <w:t xml:space="preserve">Tobin, J., Fong, R., Ray, A., Schneider, J., Zaremba, W., Abbeel, P., 2017. Domain randomization for transferring deep neural networks from simulation to the real world. In: 2017 IEEE/RSJ International Conference on Intelligent Robots and Systems (IROS), pp. 23-30. </w:t>
      </w:r>
      <w:hyperlink w:history="1" r:id="rId9jtt65rqdj-ikr6gd8u7g">
        <w:r>
          <w:rPr>
            <w:rFonts w:ascii="Times New Roman" w:cs="Times New Roman" w:eastAsia="Times New Roman" w:hAnsi="Times New Roman"/>
            <w:color w:val="28598A"/>
            <w:sz w:val="19"/>
            <w:szCs w:val="19"/>
            <w:u w:val="single" w:color="28598A"/>
          </w:rPr>
          <w:t xml:space="preserve">https://doi.org/10.1109/IROS.2017.8202133</w:t>
        </w:r>
      </w:hyperlink>
    </w:p>
    <w:p>
      <w:pPr>
        <w:spacing w:after="70" w:line="250"/>
        <w:ind w:left="360" w:hanging="360"/>
        <w:jc w:val="left"/>
      </w:pPr>
      <w:r>
        <w:rPr>
          <w:rFonts w:ascii="Times New Roman" w:cs="Times New Roman" w:eastAsia="Times New Roman" w:hAnsi="Times New Roman"/>
          <w:color w:val="000000"/>
          <w:sz w:val="19"/>
          <w:szCs w:val="19"/>
        </w:rPr>
        <w:t xml:space="preserve">Torralba, A., Efros, A.A., 2011. Unbiased look at dataset bias. In: Proceedings of the IEEE Conference on Computer Vision and Pattern Recognition (CVPR), pp. 1521-1528. </w:t>
      </w:r>
      <w:hyperlink w:history="1" r:id="rIdhhqolejkyhx67egfveu0-">
        <w:r>
          <w:rPr>
            <w:rFonts w:ascii="Times New Roman" w:cs="Times New Roman" w:eastAsia="Times New Roman" w:hAnsi="Times New Roman"/>
            <w:color w:val="28598A"/>
            <w:sz w:val="19"/>
            <w:szCs w:val="19"/>
            <w:u w:val="single" w:color="28598A"/>
          </w:rPr>
          <w:t xml:space="preserve">https://doi.org/10.1109/CVPR.2011.5995347</w:t>
        </w:r>
      </w:hyperlink>
    </w:p>
    <w:p>
      <w:pPr>
        <w:spacing w:after="70" w:line="250"/>
        <w:ind w:left="360" w:hanging="360"/>
        <w:jc w:val="left"/>
      </w:pPr>
      <w:r>
        <w:rPr>
          <w:rFonts w:ascii="Times New Roman" w:cs="Times New Roman" w:eastAsia="Times New Roman" w:hAnsi="Times New Roman"/>
          <w:color w:val="000000"/>
          <w:sz w:val="19"/>
          <w:szCs w:val="19"/>
        </w:rPr>
        <w:t xml:space="preserve">Tremblay, J., Prakash, A., Acuna, D., et al., 2018. Training deep networks with synthetic data: Bridging the reality gap by domain randomization. In: IEEE/CVF Conference on Computer Vision and Pattern Recognition Workshops (CVPRW), pp. 969-977. </w:t>
      </w:r>
      <w:hyperlink w:history="1" r:id="rIdmnl4itah7as7dlj7ewvwe">
        <w:r>
          <w:rPr>
            <w:rFonts w:ascii="Times New Roman" w:cs="Times New Roman" w:eastAsia="Times New Roman" w:hAnsi="Times New Roman"/>
            <w:color w:val="28598A"/>
            <w:sz w:val="19"/>
            <w:szCs w:val="19"/>
            <w:u w:val="single" w:color="28598A"/>
          </w:rPr>
          <w:t xml:space="preserve">https://doi.org/10.1109/CVPRW.2018.00143</w:t>
        </w:r>
      </w:hyperlink>
    </w:p>
    <w:p>
      <w:pPr>
        <w:spacing w:after="70" w:line="250"/>
        <w:ind w:left="360" w:hanging="360"/>
        <w:jc w:val="left"/>
      </w:pPr>
      <w:r>
        <w:rPr>
          <w:rFonts w:ascii="Times New Roman" w:cs="Times New Roman" w:eastAsia="Times New Roman" w:hAnsi="Times New Roman"/>
          <w:color w:val="000000"/>
          <w:sz w:val="19"/>
          <w:szCs w:val="19"/>
        </w:rPr>
        <w:t xml:space="preserve">van Breugel, B., Seedat, N., Imrie, F., van der Schaar, M., 2023. Can you rely on your model evaluation? Improving model evaluation with synthetic test data. arXiv preprint. </w:t>
      </w:r>
      <w:hyperlink w:history="1" r:id="rIdizjwc0muqxrluyq0vck5o">
        <w:r>
          <w:rPr>
            <w:rFonts w:ascii="Times New Roman" w:cs="Times New Roman" w:eastAsia="Times New Roman" w:hAnsi="Times New Roman"/>
            <w:color w:val="28598A"/>
            <w:sz w:val="19"/>
            <w:szCs w:val="19"/>
            <w:u w:val="single" w:color="28598A"/>
          </w:rPr>
          <w:t xml:space="preserve">https://arxiv.org/abs/2310.16524</w:t>
        </w:r>
      </w:hyperlink>
    </w:p>
    <w:p>
      <w:pPr>
        <w:spacing w:after="70" w:line="250"/>
        <w:ind w:left="360" w:hanging="360"/>
        <w:jc w:val="left"/>
      </w:pPr>
      <w:r>
        <w:rPr>
          <w:rFonts w:ascii="Times New Roman" w:cs="Times New Roman" w:eastAsia="Times New Roman" w:hAnsi="Times New Roman"/>
          <w:color w:val="000000"/>
          <w:sz w:val="19"/>
          <w:szCs w:val="19"/>
        </w:rPr>
        <w:t xml:space="preserve">Wang, C., Anisuzzaman, D.M., Williamson, V., et al., 2020. Fully automatic wound segmentation with deep convolutional neural networks. Scientific Reports 10, 21897. </w:t>
      </w:r>
      <w:hyperlink w:history="1" r:id="rIdh5s-xzxmtruu8zduj9gmb">
        <w:r>
          <w:rPr>
            <w:rFonts w:ascii="Times New Roman" w:cs="Times New Roman" w:eastAsia="Times New Roman" w:hAnsi="Times New Roman"/>
            <w:color w:val="28598A"/>
            <w:sz w:val="19"/>
            <w:szCs w:val="19"/>
            <w:u w:val="single" w:color="28598A"/>
          </w:rPr>
          <w:t xml:space="preserve">https://doi.org/10.1038/s41598-020-78799-w</w:t>
        </w:r>
      </w:hyperlink>
    </w:p>
    <w:p>
      <w:pPr>
        <w:spacing w:after="70" w:line="250"/>
        <w:ind w:left="360" w:hanging="360"/>
        <w:jc w:val="left"/>
      </w:pPr>
      <w:r>
        <w:rPr>
          <w:rFonts w:ascii="Times New Roman" w:cs="Times New Roman" w:eastAsia="Times New Roman" w:hAnsi="Times New Roman"/>
          <w:color w:val="000000"/>
          <w:sz w:val="19"/>
          <w:szCs w:val="19"/>
        </w:rPr>
        <w:t xml:space="preserve">Wang, C., Mahbod, A., Ellinger, I., Galdran, A., Gopalakrishnan, S., Niezgoda, J., Yu, Z., 2024. FUSeg: The Foot Ulcer Segmentation Challenge. Information 15(3), 140. </w:t>
      </w:r>
      <w:hyperlink w:history="1" r:id="rIdyx8kc4i31pteymfatckgs">
        <w:r>
          <w:rPr>
            <w:rFonts w:ascii="Times New Roman" w:cs="Times New Roman" w:eastAsia="Times New Roman" w:hAnsi="Times New Roman"/>
            <w:color w:val="28598A"/>
            <w:sz w:val="19"/>
            <w:szCs w:val="19"/>
            <w:u w:val="single" w:color="28598A"/>
          </w:rPr>
          <w:t xml:space="preserve">https://doi.org/10.3390/info15030140</w:t>
        </w:r>
      </w:hyperlink>
    </w:p>
    <w:p>
      <w:pPr>
        <w:spacing w:after="70" w:line="250"/>
        <w:ind w:left="360" w:hanging="360"/>
        <w:jc w:val="left"/>
      </w:pPr>
      <w:r>
        <w:rPr>
          <w:rFonts w:ascii="Times New Roman" w:cs="Times New Roman" w:eastAsia="Times New Roman" w:hAnsi="Times New Roman"/>
          <w:color w:val="000000"/>
          <w:sz w:val="19"/>
          <w:szCs w:val="19"/>
        </w:rPr>
        <w:t xml:space="preserve">Wiesenfarth, M., Reinke, A., Landman, B.A., et al., 2021. Methods and open-source toolkit for analyzing and visualizing challenge results. Scientific Reports 11, 2369. </w:t>
      </w:r>
      <w:hyperlink w:history="1" r:id="rIdgvc6xsq-fsrhmacrje1vx">
        <w:r>
          <w:rPr>
            <w:rFonts w:ascii="Times New Roman" w:cs="Times New Roman" w:eastAsia="Times New Roman" w:hAnsi="Times New Roman"/>
            <w:color w:val="28598A"/>
            <w:sz w:val="19"/>
            <w:szCs w:val="19"/>
            <w:u w:val="single" w:color="28598A"/>
          </w:rPr>
          <w:t xml:space="preserve">https://doi.org/10.1038/s41598-021-82017-6</w:t>
        </w:r>
      </w:hyperlink>
    </w:p>
    <w:p>
      <w:pPr>
        <w:spacing w:after="70" w:line="250"/>
        <w:ind w:left="360" w:hanging="360"/>
        <w:jc w:val="left"/>
      </w:pPr>
      <w:r>
        <w:rPr>
          <w:rFonts w:ascii="Times New Roman" w:cs="Times New Roman" w:eastAsia="Times New Roman" w:hAnsi="Times New Roman"/>
          <w:color w:val="000000"/>
          <w:sz w:val="19"/>
          <w:szCs w:val="19"/>
        </w:rPr>
        <w:t xml:space="preserve">Xie, E., Wang, W., Yu, Z., Anandkumar, A., Alvarez, J.M., Luo, P., 2021. SegFormer: Simple and efficient design for semantic segmentation with transformers. In: Advances in Neural Information Processing Systems 34 (NeurIPS 2021), pp. 12077-12090. </w:t>
      </w:r>
      <w:hyperlink w:history="1" r:id="rIdm80vcrzjteytb-bfgy76l">
        <w:r>
          <w:rPr>
            <w:rFonts w:ascii="Times New Roman" w:cs="Times New Roman" w:eastAsia="Times New Roman" w:hAnsi="Times New Roman"/>
            <w:color w:val="28598A"/>
            <w:sz w:val="19"/>
            <w:szCs w:val="19"/>
            <w:u w:val="single" w:color="28598A"/>
          </w:rPr>
          <w:t xml:space="preserve">https://arxiv.org/abs/2105.15203</w:t>
        </w:r>
      </w:hyperlink>
    </w:p>
    <w:p>
      <w:pPr>
        <w:spacing w:after="70" w:line="250"/>
        <w:ind w:left="360" w:hanging="360"/>
        <w:jc w:val="left"/>
      </w:pPr>
      <w:r>
        <w:rPr>
          <w:rFonts w:ascii="Times New Roman" w:cs="Times New Roman" w:eastAsia="Times New Roman" w:hAnsi="Times New Roman"/>
          <w:color w:val="000000"/>
          <w:sz w:val="19"/>
          <w:szCs w:val="19"/>
        </w:rPr>
        <w:t xml:space="preserve">Yap, M.H., Cassidy, B., Byra, M., et al., 2024. Diabetic foot ulcers segmentation challenge report: Benchmark and analysis. Medical Image Analysis 94, 103153. </w:t>
      </w:r>
      <w:hyperlink w:history="1" r:id="rIdbvqefal-vfpgmvvewnua2">
        <w:r>
          <w:rPr>
            <w:rFonts w:ascii="Times New Roman" w:cs="Times New Roman" w:eastAsia="Times New Roman" w:hAnsi="Times New Roman"/>
            <w:color w:val="28598A"/>
            <w:sz w:val="19"/>
            <w:szCs w:val="19"/>
            <w:u w:val="single" w:color="28598A"/>
          </w:rPr>
          <w:t xml:space="preserve">https://doi.org/10.1016/j.media.2024.103153</w:t>
        </w:r>
      </w:hyperlink>
    </w:p>
    <w:p>
      <w:pPr>
        <w:spacing w:after="70" w:line="250"/>
        <w:ind w:left="360" w:hanging="360"/>
        <w:jc w:val="left"/>
      </w:pPr>
      <w:r>
        <w:rPr>
          <w:rFonts w:ascii="Times New Roman" w:cs="Times New Roman" w:eastAsia="Times New Roman" w:hAnsi="Times New Roman"/>
          <w:color w:val="000000"/>
          <w:sz w:val="19"/>
          <w:szCs w:val="19"/>
        </w:rPr>
        <w:t xml:space="preserve">Zhang, G., Dominguez-Olmedo, R., Hardt, M., 2026. Train-before-test harmonizes language model rankings. In: International Conference on Learning Representations (ICLR 2026). </w:t>
      </w:r>
      <w:hyperlink w:history="1" r:id="rIdeaoszaaiumkyav8d4anru">
        <w:r>
          <w:rPr>
            <w:rFonts w:ascii="Times New Roman" w:cs="Times New Roman" w:eastAsia="Times New Roman" w:hAnsi="Times New Roman"/>
            <w:color w:val="28598A"/>
            <w:sz w:val="19"/>
            <w:szCs w:val="19"/>
            <w:u w:val="single" w:color="28598A"/>
          </w:rPr>
          <w:t xml:space="preserve">https://arxiv.org/abs/2507.05195</w:t>
        </w:r>
      </w:hyperlink>
    </w:p>
    <w:p>
      <w:pPr>
        <w:spacing w:after="70" w:line="250"/>
        <w:ind w:left="360" w:hanging="360"/>
        <w:jc w:val="left"/>
      </w:pPr>
      <w:r>
        <w:rPr>
          <w:rFonts w:ascii="Times New Roman" w:cs="Times New Roman" w:eastAsia="Times New Roman" w:hAnsi="Times New Roman"/>
          <w:color w:val="000000"/>
          <w:sz w:val="19"/>
          <w:szCs w:val="19"/>
        </w:rPr>
        <w:t xml:space="preserve">Zhang, R., Tian, D., Xu, D., Qian, W., Yao, Y., 2022. A survey of wound image analysis using deep learning: Classification, detection, and segmentation. IEEE Access 10, 79502-79515. </w:t>
      </w:r>
      <w:hyperlink w:history="1" r:id="rIdhxven0ydduerkntavs7ea">
        <w:r>
          <w:rPr>
            <w:rFonts w:ascii="Times New Roman" w:cs="Times New Roman" w:eastAsia="Times New Roman" w:hAnsi="Times New Roman"/>
            <w:color w:val="28598A"/>
            <w:sz w:val="19"/>
            <w:szCs w:val="19"/>
            <w:u w:val="single" w:color="28598A"/>
          </w:rPr>
          <w:t xml:space="preserve">https://doi.org/10.1109/ACCESS.2022.3194529</w:t>
        </w:r>
      </w:hyperlink>
    </w:p>
    <w:p>
      <w:pPr>
        <w:spacing w:after="70" w:line="250"/>
        <w:ind w:left="360" w:hanging="360"/>
        <w:jc w:val="left"/>
      </w:pPr>
      <w:r>
        <w:rPr>
          <w:rFonts w:ascii="Times New Roman" w:cs="Times New Roman" w:eastAsia="Times New Roman" w:hAnsi="Times New Roman"/>
          <w:color w:val="000000"/>
          <w:sz w:val="19"/>
          <w:szCs w:val="19"/>
        </w:rPr>
        <w:t xml:space="preserve">Zhao, H., Shi, J., Qi, X., Wang, X., Jia, J., 2017. Pyramid scene parsing network. In: Proceedings of the IEEE Conference on Computer Vision and Pattern Recognition (CVPR), pp. 6230-6239. </w:t>
      </w:r>
      <w:hyperlink w:history="1" r:id="rIdywnfpyuzpvxqfsm1lhxrl">
        <w:r>
          <w:rPr>
            <w:rFonts w:ascii="Times New Roman" w:cs="Times New Roman" w:eastAsia="Times New Roman" w:hAnsi="Times New Roman"/>
            <w:color w:val="28598A"/>
            <w:sz w:val="19"/>
            <w:szCs w:val="19"/>
            <w:u w:val="single" w:color="28598A"/>
          </w:rPr>
          <w:t xml:space="preserve">https://doi.org/10.1109/CVPR.2017.660</w:t>
        </w:r>
      </w:hyperlink>
    </w:p>
    <w:p>
      <w:pPr>
        <w:spacing w:after="70" w:line="250"/>
        <w:ind w:left="360" w:hanging="360"/>
        <w:jc w:val="left"/>
      </w:pPr>
      <w:r>
        <w:rPr>
          <w:rFonts w:ascii="Times New Roman" w:cs="Times New Roman" w:eastAsia="Times New Roman" w:hAnsi="Times New Roman"/>
          <w:color w:val="000000"/>
          <w:sz w:val="19"/>
          <w:szCs w:val="19"/>
        </w:rPr>
        <w:t xml:space="preserve">Zhou, Z., Siddiquee, M.M.R., Tajbakhsh, N., Liang, J., 2018. UNet++: A nested U-Net architecture for medical image segmentation. In: Deep Learning in Medical Image Analysis and Multimodal Learning for Clinical Decision Support. Lecture Notes in Computer Science 11045, pp. 3-11. </w:t>
      </w:r>
      <w:hyperlink w:history="1" r:id="rIdmohtqvgqrpnmiup9vi0sm">
        <w:r>
          <w:rPr>
            <w:rFonts w:ascii="Times New Roman" w:cs="Times New Roman" w:eastAsia="Times New Roman" w:hAnsi="Times New Roman"/>
            <w:color w:val="28598A"/>
            <w:sz w:val="19"/>
            <w:szCs w:val="19"/>
            <w:u w:val="single" w:color="28598A"/>
          </w:rPr>
          <w:t xml:space="preserve">https://doi.org/10.1007/978-3-030-00889-5_1</w:t>
        </w:r>
      </w:hyperlink>
    </w:p>
    <w:p>
      <w:r>
        <w:br w:type="page"/>
      </w:r>
    </w:p>
    <w:p>
      <w:pPr>
        <w:pStyle w:val="Heading1"/>
        <w:keepNext/>
        <w:spacing w:after="160" w:before="360"/>
      </w:pPr>
      <w:r>
        <w:rPr>
          <w:rFonts w:ascii="Times New Roman" w:cs="Times New Roman" w:eastAsia="Times New Roman" w:hAnsi="Times New Roman"/>
          <w:b/>
          <w:bCs/>
          <w:color w:val="000000"/>
          <w:sz w:val="26"/>
          <w:szCs w:val="26"/>
        </w:rPr>
        <w:t xml:space="preserve">Appendix A. Agreement for every pair of references</w:t>
      </w:r>
    </w:p>
    <w:p>
      <w:pPr>
        <w:keepNext/>
        <w:spacing w:after="90" w:before="200" w:line="260"/>
      </w:pPr>
      <w:r>
        <w:rPr>
          <w:rFonts w:ascii="Times New Roman" w:cs="Times New Roman" w:eastAsia="Times New Roman" w:hAnsi="Times New Roman"/>
          <w:b/>
          <w:bCs/>
          <w:color w:val="000000"/>
          <w:sz w:val="19"/>
          <w:szCs w:val="19"/>
        </w:rPr>
        <w:t xml:space="preserve">Table A1. </w:t>
      </w:r>
      <w:r>
        <w:rPr>
          <w:rFonts w:ascii="Times New Roman" w:cs="Times New Roman" w:eastAsia="Times New Roman" w:hAnsi="Times New Roman"/>
          <w:color w:val="3F3F3F"/>
          <w:sz w:val="19"/>
          <w:szCs w:val="19"/>
        </w:rPr>
        <w:t xml:space="preserve">Spearman agreement under Dice for every pair, by pool.</w:t>
      </w:r>
    </w:p>
    <w:tbl>
      <w:tblPr>
        <w:tblW w:type="dxa" w:w="9360"/>
        <w:tblBorders>
          <w:top w:val="single" w:color="8C8C8C" w:sz="8"/>
          <w:left w:val="none"/>
          <w:bottom w:val="single" w:color="8C8C8C" w:sz="8"/>
          <w:right w:val="none"/>
          <w:insideH w:val="single" w:color="CFCFCF" w:sz="2"/>
          <w:insideV w:val="none"/>
        </w:tblBorders>
      </w:tblPr>
      <w:tblGrid>
        <w:gridCol w:w="3500"/>
        <w:gridCol w:w="1900"/>
        <w:gridCol w:w="1300"/>
        <w:gridCol w:w="1330"/>
        <w:gridCol w:w="1330"/>
      </w:tblGrid>
      <w:tr>
        <w:trPr>
          <w:tblHeader/>
        </w:trPr>
        <w:tc>
          <w:tcPr>
            <w:tcW w:type="dxa" w:w="350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7"/>
                <w:szCs w:val="17"/>
              </w:rPr>
              <w:t xml:space="preserve">Pair</w:t>
            </w:r>
          </w:p>
        </w:tc>
        <w:tc>
          <w:tcPr>
            <w:tcW w:type="dxa" w:w="190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7"/>
                <w:szCs w:val="17"/>
              </w:rPr>
              <w:t xml:space="preserve">Level</w:t>
            </w:r>
          </w:p>
        </w:tc>
        <w:tc>
          <w:tcPr>
            <w:tcW w:type="dxa" w:w="1300"/>
            <w:shd w:fill="E6E6E6" w:color="auto" w:val="clear"/>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bCs/>
                <w:color w:val="000000"/>
                <w:sz w:val="17"/>
                <w:szCs w:val="17"/>
              </w:rPr>
              <w:t xml:space="preserve">All 32</w:t>
            </w:r>
          </w:p>
        </w:tc>
        <w:tc>
          <w:tcPr>
            <w:tcW w:type="dxa" w:w="1330"/>
            <w:shd w:fill="E6E6E6" w:color="auto" w:val="clear"/>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bCs/>
                <w:color w:val="000000"/>
                <w:sz w:val="17"/>
                <w:szCs w:val="17"/>
              </w:rPr>
              <w:t xml:space="preserve">18 untrained</w:t>
            </w:r>
          </w:p>
        </w:tc>
        <w:tc>
          <w:tcPr>
            <w:tcW w:type="dxa" w:w="1330"/>
            <w:shd w:fill="E6E6E6" w:color="auto" w:val="clear"/>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bCs/>
                <w:color w:val="000000"/>
                <w:sz w:val="17"/>
                <w:szCs w:val="17"/>
              </w:rPr>
              <w:t xml:space="preserve">14 trained</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AZH train slice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dataset</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+0.944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+0.973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+0.947</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source</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+0.961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+0.973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+0.943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source</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+0.950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+0.946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+0.969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AZH</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source</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+0.660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+0.148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+0.033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+0.950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+0.901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+0.943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+0.947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+0.940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+0.908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+0.931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+0.876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+0.855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+0.907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+0.853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+0.868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+0.861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+0.818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+0.767</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+0.849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+0.870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+0.820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CVC-ColonDB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+0.841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+0.699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+0.873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+0.797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+0.715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+0.846</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AZH</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+0.568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FUSeg</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+0.461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+0.740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-0.042</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ETIS-Larib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+0.720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+0.921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+0.622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+0.042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+0.785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CVC-ColonDB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+0.616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+0.036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+0.899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+0.570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+0.055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+0.881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+0.541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-0.015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+0.855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ETIS-Larib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+0.343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+0.086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-0.522</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CVC-ColonDB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+0.246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-0.389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+0.241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+0.196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-0.455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+0.218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-0.435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+0.184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+0.113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-0.453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PH2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+0.168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-0.441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-0.528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Kvasir</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+0.032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+0.255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+0.191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+0.027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+0.385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+0.152</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-0.042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+0.370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+0.121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+0.381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+0.007</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+0.216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-0.051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Kvasir</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-0.203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+0.543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-0.231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-0.108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-0.238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+0.191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-0.051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-0.277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+0.486</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-0.295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-0.326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+0.208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-0.330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-0.077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+0.319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-0.460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+0.104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-0.459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Kvasir</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-0.088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-0.451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-0.509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+0.134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-0.518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+0.125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-0.534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-0.525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+0.235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-0.532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-0.186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+0.039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-0.539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-0.549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-0.304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-0.552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+0.036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-0.552</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-0.733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-0.203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-0.442</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-0.743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-0.131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-0.367</w:t>
            </w:r>
          </w:p>
        </w:tc>
      </w:tr>
    </w:tbl>
    <w:p>
      <w:pPr>
        <w:keepNext/>
        <w:spacing w:after="90" w:before="200" w:line="260"/>
      </w:pPr>
      <w:r>
        <w:rPr>
          <w:rFonts w:ascii="Times New Roman" w:cs="Times New Roman" w:eastAsia="Times New Roman" w:hAnsi="Times New Roman"/>
          <w:b/>
          <w:bCs/>
          <w:color w:val="000000"/>
          <w:sz w:val="19"/>
          <w:szCs w:val="19"/>
        </w:rPr>
        <w:t xml:space="preserve">Table A2. </w:t>
      </w:r>
      <w:r>
        <w:rPr>
          <w:rFonts w:ascii="Times New Roman" w:cs="Times New Roman" w:eastAsia="Times New Roman" w:hAnsi="Times New Roman"/>
          <w:color w:val="3F3F3F"/>
          <w:sz w:val="19"/>
          <w:szCs w:val="19"/>
        </w:rPr>
        <w:t xml:space="preserve">Spearman agreement under NSD for every pair, by pool.</w:t>
      </w:r>
    </w:p>
    <w:tbl>
      <w:tblPr>
        <w:tblW w:type="dxa" w:w="9360"/>
        <w:tblBorders>
          <w:top w:val="single" w:color="8C8C8C" w:sz="8"/>
          <w:left w:val="none"/>
          <w:bottom w:val="single" w:color="8C8C8C" w:sz="8"/>
          <w:right w:val="none"/>
          <w:insideH w:val="single" w:color="CFCFCF" w:sz="2"/>
          <w:insideV w:val="none"/>
        </w:tblBorders>
      </w:tblPr>
      <w:tblGrid>
        <w:gridCol w:w="3500"/>
        <w:gridCol w:w="1900"/>
        <w:gridCol w:w="1300"/>
        <w:gridCol w:w="1330"/>
        <w:gridCol w:w="1330"/>
      </w:tblGrid>
      <w:tr>
        <w:trPr>
          <w:tblHeader/>
        </w:trPr>
        <w:tc>
          <w:tcPr>
            <w:tcW w:type="dxa" w:w="350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7"/>
                <w:szCs w:val="17"/>
              </w:rPr>
              <w:t xml:space="preserve">Pair</w:t>
            </w:r>
          </w:p>
        </w:tc>
        <w:tc>
          <w:tcPr>
            <w:tcW w:type="dxa" w:w="190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7"/>
                <w:szCs w:val="17"/>
              </w:rPr>
              <w:t xml:space="preserve">Level</w:t>
            </w:r>
          </w:p>
        </w:tc>
        <w:tc>
          <w:tcPr>
            <w:tcW w:type="dxa" w:w="1300"/>
            <w:shd w:fill="E6E6E6" w:color="auto" w:val="clear"/>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bCs/>
                <w:color w:val="000000"/>
                <w:sz w:val="17"/>
                <w:szCs w:val="17"/>
              </w:rPr>
              <w:t xml:space="preserve">All 32</w:t>
            </w:r>
          </w:p>
        </w:tc>
        <w:tc>
          <w:tcPr>
            <w:tcW w:type="dxa" w:w="1330"/>
            <w:shd w:fill="E6E6E6" w:color="auto" w:val="clear"/>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bCs/>
                <w:color w:val="000000"/>
                <w:sz w:val="17"/>
                <w:szCs w:val="17"/>
              </w:rPr>
              <w:t xml:space="preserve">18 untrained</w:t>
            </w:r>
          </w:p>
        </w:tc>
        <w:tc>
          <w:tcPr>
            <w:tcW w:type="dxa" w:w="1330"/>
            <w:shd w:fill="E6E6E6" w:color="auto" w:val="clear"/>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bCs/>
                <w:color w:val="000000"/>
                <w:sz w:val="17"/>
                <w:szCs w:val="17"/>
              </w:rPr>
              <w:t xml:space="preserve">14 trained</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AZH train slice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dataset</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+0.960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+0.979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+0.908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source</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+0.975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+0.953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+0.960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source</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+0.937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+0.886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+0.996</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AZH</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source</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+0.782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+0.725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+0.824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+0.864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+0.860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+0.868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+0.861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+0.812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+0.864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+0.847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+0.763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+0.824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+0.842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+0.769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+0.934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+0.834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+0.631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+0.793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+0.826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+0.744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+0.916</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+0.820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+0.814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+0.815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CVC-ColonDB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+0.794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+0.536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+0.851</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AZH</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+0.580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+0.794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+0.275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FUSeg</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Within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+0.461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+0.839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ETIS-Larib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+0.716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+0.401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+0.695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+0.697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+0.108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+0.664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CVC-ColonDB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+0.642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-0.007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+0.770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+0.562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+0.179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+0.660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+0.503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+0.075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+0.700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+0.353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+0.734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+0.286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+0.121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-0.316</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Kvasir</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+0.266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+0.618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+0.130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CVC-ClinicDB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+0.218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-0.389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CVC-ColonDB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+0.212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+0.235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-0.377</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+0.199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+0.204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Kvasir-sessile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+0.037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-0.329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ETIS-Larib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+0.029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-0.192</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+0.133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+0.585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+0.112</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+0.084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+0.651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+0.095</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+0.072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+0.451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PH2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-0.500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-0.574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Kvasir</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-0.029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+0.548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+0.090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-0.055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+0.583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-0.029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Kvasir-sessile</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-0.132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+0.680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-0.178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-0.146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-0.071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+0.197</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Medetec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-0.160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+0.129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-0.364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-0.240</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+0.348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-0.020</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-0.248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-0.156</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Kvasir</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-0.284</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+0.486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-0.187</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-0.303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-0.146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-0.048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ETIS-Larib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-0.327</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+0.333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-0.209</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CVC-ColonDB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-0.351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+0.628</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-0.288</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CVC-ClinicDB</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-0.403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+0.715</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-0.464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AZH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-0.471</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+0.069</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-0.174</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TN3K</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-0.476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+0.003</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+0.213</w:t>
            </w:r>
          </w:p>
        </w:tc>
      </w:tr>
      <w:tr>
        <w:trPr>
          <w:cantSplit/>
        </w:trPr>
        <w:tc>
          <w:tcPr>
            <w:tcW w:type="dxa" w:w="3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FUSeg and PH2</w:t>
            </w:r>
          </w:p>
        </w:tc>
        <w:tc>
          <w:tcPr>
            <w:tcW w:type="dxa" w:w="1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Across modality</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-0.666</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-0.112</w:t>
            </w:r>
          </w:p>
        </w:tc>
        <w:tc>
          <w:tcPr>
            <w:tcW w:type="dxa" w:w="13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-0.236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gt9awtfratsmwl0xuqwh" Type="http://schemas.openxmlformats.org/officeDocument/2006/relationships/hyperlink" Target="https://doi.org/10.3390/diagnostics16172880" TargetMode="External"/><Relationship Id="rId7p5m4sy-mrrq3rq4tordx" Type="http://schemas.openxmlformats.org/officeDocument/2006/relationships/hyperlink" Target="https://doi.org/10.1016/j.media.2011.01.004" TargetMode="External"/><Relationship Id="rIdnrhbv7wluav0vmj1_x1cy" Type="http://schemas.openxmlformats.org/officeDocument/2006/relationships/hyperlink" Target="https://doi.org/10.1038/s41598-024-52063-x" TargetMode="External"/><Relationship Id="rIdaj7jdk1egfnkpyr9fmb-g" Type="http://schemas.openxmlformats.org/officeDocument/2006/relationships/hyperlink" Target="https://doi.org/10.1038/s41467-022-30695-9" TargetMode="External"/><Relationship Id="rIdhs3cci1pziexheimkalzh" Type="http://schemas.openxmlformats.org/officeDocument/2006/relationships/hyperlink" Target="https://doi.org/10.1001/jamanetworkopen.2018.5474" TargetMode="External"/><Relationship Id="rIdiwnqh8kqds_xt5d_1ju73" Type="http://schemas.openxmlformats.org/officeDocument/2006/relationships/hyperlink" Target="https://arxiv.org/abs/2206.13089" TargetMode="External"/><Relationship Id="rId3d9n3fkav7wukhzs4g7eb" Type="http://schemas.openxmlformats.org/officeDocument/2006/relationships/hyperlink" Target="https://arxiv.org/abs/2310.20140" TargetMode="External"/><Relationship Id="rIdpfcemge3l6fx-wd-lt-de" Type="http://schemas.openxmlformats.org/officeDocument/2006/relationships/hyperlink" Target="https://arxiv.org/abs/2411.03670" TargetMode="External"/><Relationship Id="rIdmrajkkarube9nibxvn_4o" Type="http://schemas.openxmlformats.org/officeDocument/2006/relationships/hyperlink" Target="https://arxiv.org/abs/2607.02555" TargetMode="External"/><Relationship Id="rIdxdji1y64asoufw6xmmruu" Type="http://schemas.openxmlformats.org/officeDocument/2006/relationships/hyperlink" Target="https://doi.org/10.1016/j.patcog.2012.03.002" TargetMode="External"/><Relationship Id="rIdj-wdjmuub3bi4ljt3olqu" Type="http://schemas.openxmlformats.org/officeDocument/2006/relationships/hyperlink" Target="https://doi.org/10.1016/j.compmedimag.2015.02.007" TargetMode="External"/><Relationship Id="rIdlo83rcyqb1fcjtr77thbq" Type="http://schemas.openxmlformats.org/officeDocument/2006/relationships/hyperlink" Target="https://doi.org/10.1016/j.media.2023.102789" TargetMode="External"/><Relationship Id="rIdbxzajsrif-zkuerq4em2x" Type="http://schemas.openxmlformats.org/officeDocument/2006/relationships/hyperlink" Target="https://arxiv.org/abs/2607.14932" TargetMode="External"/><Relationship Id="rIdkmhlebukivouuqhag9gqk" Type="http://schemas.openxmlformats.org/officeDocument/2006/relationships/hyperlink" Target="https://doi.org/10.1038/s41467-020-17478-w" TargetMode="External"/><Relationship Id="rIdf73bjlk7o7la2jqutszer" Type="http://schemas.openxmlformats.org/officeDocument/2006/relationships/hyperlink" Target="https://doi.org/10.1109/VCIP.2017.8305148" TargetMode="External"/><Relationship Id="rIdqqxgbqajwv-qy-fxqfsqc" Type="http://schemas.openxmlformats.org/officeDocument/2006/relationships/hyperlink" Target="https://doi.org/10.1007/978-3-030-01234-2_49" TargetMode="External"/><Relationship Id="rId4d-0hsj-fcse1vyp2kjgx" Type="http://schemas.openxmlformats.org/officeDocument/2006/relationships/hyperlink" Target="https://doi.org/10.1038/s41551-021-00751-8" TargetMode="External"/><Relationship Id="rIdewgoqa7uqa-ifbpwnllu_" Type="http://schemas.openxmlformats.org/officeDocument/2006/relationships/hyperlink" Target="https://doi.org/10.1109/42.712135" TargetMode="External"/><Relationship Id="rIdi8nbzrvrbhsaxzthhlau-" Type="http://schemas.openxmlformats.org/officeDocument/2006/relationships/hyperlink" Target="https://arxiv.org/abs/2505.07175" TargetMode="External"/><Relationship Id="rId6a3f4ppxg1j5pgzms2prd" Type="http://schemas.openxmlformats.org/officeDocument/2006/relationships/hyperlink" Target="https://arxiv.org/abs/2407.07890" TargetMode="External"/><Relationship Id="rIdebwnr6rdodqv2-6gkaqtv" Type="http://schemas.openxmlformats.org/officeDocument/2006/relationships/hyperlink" Target="https://arxiv.org/abs/2303.17719" TargetMode="External"/><Relationship Id="rIdmu6mwmhbduubuqbmmbepq" Type="http://schemas.openxmlformats.org/officeDocument/2006/relationships/hyperlink" Target="https://doi.org/10.1109/ACCESS.2020.3025372" TargetMode="External"/><Relationship Id="rIdebbbp-fege7q527ntios0" Type="http://schemas.openxmlformats.org/officeDocument/2006/relationships/hyperlink" Target="https://doi.org/10.1038/s42256-020-00257-z" TargetMode="External"/><Relationship Id="rIdkp_lw7y40sohb2t0t9d-8" Type="http://schemas.openxmlformats.org/officeDocument/2006/relationships/hyperlink" Target="https://doi.org/10.1109/ISBI48211.2021.9434087" TargetMode="External"/><Relationship Id="rIdsuu9kyvtxe6l0ybfned28" Type="http://schemas.openxmlformats.org/officeDocument/2006/relationships/hyperlink" Target="https://doi.org/10.1109/CVPR.2016.90" TargetMode="External"/><Relationship Id="rIdlqd-41y5_8cj5fgget1tk" Type="http://schemas.openxmlformats.org/officeDocument/2006/relationships/hyperlink" Target="https://github.com/qubvel-org/segmentation_models.pytorch" TargetMode="External"/><Relationship Id="rIdcdbux8efpk91ijghpeh4m" Type="http://schemas.openxmlformats.org/officeDocument/2006/relationships/hyperlink" Target="https://doi.org/10.1038/s41592-020-01008-z" TargetMode="External"/><Relationship Id="rIdhzadxlbq-gmjbbas1j1lc" Type="http://schemas.openxmlformats.org/officeDocument/2006/relationships/hyperlink" Target="https://doi.org/10.1007/978-3-031-72114-4_47" TargetMode="External"/><Relationship Id="rId02p-odp0tqmvylmaohlct" Type="http://schemas.openxmlformats.org/officeDocument/2006/relationships/hyperlink" Target="https://doi.org/10.1007/978-3-030-37734-2_37" TargetMode="External"/><Relationship Id="rId_845cuijkfxwcmnuurjzj" Type="http://schemas.openxmlformats.org/officeDocument/2006/relationships/hyperlink" Target="https://arxiv.org/abs/2209.05047" TargetMode="External"/><Relationship Id="rIdgswxxxaoxqb3yo_kn7oue" Type="http://schemas.openxmlformats.org/officeDocument/2006/relationships/hyperlink" Target="https://arxiv.org/abs/2204.11618" TargetMode="External"/><Relationship Id="rId61j3n9fhul8fs_rft-cqp" Type="http://schemas.openxmlformats.org/officeDocument/2006/relationships/hyperlink" Target="https://doi.org/10.1109/CVPR.2017.106" TargetMode="External"/><Relationship Id="rId8q0ekplmrhhuwrx-jcsof" Type="http://schemas.openxmlformats.org/officeDocument/2006/relationships/hyperlink" Target="https://doi.org/10.1016/j.media.2023.103015" TargetMode="External"/><Relationship Id="rIdvinu-trtk8nyc0gbbjrex" Type="http://schemas.openxmlformats.org/officeDocument/2006/relationships/hyperlink" Target="https://doi.org/10.1109/ACCESS.2024.3502467" TargetMode="External"/><Relationship Id="rIdblz-wzzszfgpmuf52omna" Type="http://schemas.openxmlformats.org/officeDocument/2006/relationships/hyperlink" Target="https://arxiv.org/abs/2409.11968" TargetMode="External"/><Relationship Id="rIdq2a_kiupxjjuwxlffyf0v" Type="http://schemas.openxmlformats.org/officeDocument/2006/relationships/hyperlink" Target="https://doi.org/10.1038/s41467-018-07619-7" TargetMode="External"/><Relationship Id="rIdf_zvr-otogb8eftftvism" Type="http://schemas.openxmlformats.org/officeDocument/2006/relationships/hyperlink" Target="https://doi.org/10.1016/j.media.2020.101796" TargetMode="External"/><Relationship Id="rIdxyqqfowss4qlf7bnbstvl" Type="http://schemas.openxmlformats.org/officeDocument/2006/relationships/hyperlink" Target="https://doi.org/10.1038/s41592-023-02151-z" TargetMode="External"/><Relationship Id="rIdv0nlbxp63rjwokhekx-zp" Type="http://schemas.openxmlformats.org/officeDocument/2006/relationships/hyperlink" Target="http://www.medetec.co.uk/files/medetec-image-databases.html" TargetMode="External"/><Relationship Id="rIdta6jc331ulavk7sbgkl5a" Type="http://schemas.openxmlformats.org/officeDocument/2006/relationships/hyperlink" Target="https://doi.org/10.1109/EMBC.2013.6610779" TargetMode="External"/><Relationship Id="rIdpvciuk80r7lzfww2utie_" Type="http://schemas.openxmlformats.org/officeDocument/2006/relationships/hyperlink" Target="https://arxiv.org/abs/2107.04649" TargetMode="External"/><Relationship Id="rIdcncjynujgbozkrsyyp4ud" Type="http://schemas.openxmlformats.org/officeDocument/2006/relationships/hyperlink" Target="https://arxiv.org/abs/1809.04430" TargetMode="External"/><Relationship Id="rIdtyxbcdgxg96txrpf6xinr" Type="http://schemas.openxmlformats.org/officeDocument/2006/relationships/hyperlink" Target="https://doi.org/10.2196/26151" TargetMode="External"/><Relationship Id="rIda6bcl3e7l-ownme-11ehv" Type="http://schemas.openxmlformats.org/officeDocument/2006/relationships/hyperlink" Target="https://arxiv.org/abs/2407.13696" TargetMode="External"/><Relationship Id="rId840kwopqmwyzbrzfhsto9" Type="http://schemas.openxmlformats.org/officeDocument/2006/relationships/hyperlink" Target="https://arxiv.org/abs/2505.15595" TargetMode="External"/><Relationship Id="rIdw-jvidiswjlt0rnuhwybj" Type="http://schemas.openxmlformats.org/officeDocument/2006/relationships/hyperlink" Target="https://doi.org/10.1109/ICRA.2019.8794443" TargetMode="External"/><Relationship Id="rIdhdfzazzth0enlyoe6drwt" Type="http://schemas.openxmlformats.org/officeDocument/2006/relationships/hyperlink" Target="https://arxiv.org/abs/2302.05432" TargetMode="External"/><Relationship Id="rIdqchqo-jqw8higej6e8xkp" Type="http://schemas.openxmlformats.org/officeDocument/2006/relationships/hyperlink" Target="https://arxiv.org/abs/1902.10811" TargetMode="External"/><Relationship Id="rIdeosiezuxvxoatpjyqxrng" Type="http://schemas.openxmlformats.org/officeDocument/2006/relationships/hyperlink" Target="https://doi.org/10.1038/s41592-023-02150-0" TargetMode="External"/><Relationship Id="rIdjxlzx2u20lsk1zmrourly" Type="http://schemas.openxmlformats.org/officeDocument/2006/relationships/hyperlink" Target="https://doi.org/10.1007/978-3-319-24574-4_28" TargetMode="External"/><Relationship Id="rIdffim8hlbdc-f2yeeccdhj" Type="http://schemas.openxmlformats.org/officeDocument/2006/relationships/hyperlink" Target="https://doi.org/10.1109/CVPR.2018.00474" TargetMode="External"/><Relationship Id="rIdldhvhuenadr5aayfiiegc" Type="http://schemas.openxmlformats.org/officeDocument/2006/relationships/hyperlink" Target="https://doi.org/10.1049/tje2.12033" TargetMode="External"/><Relationship Id="rId7yatxzh0w0bxpjou2_e1r" Type="http://schemas.openxmlformats.org/officeDocument/2006/relationships/hyperlink" Target="https://arxiv.org/abs/2105.00717" TargetMode="External"/><Relationship Id="rIdloogdnxatqsbpmsemeup_" Type="http://schemas.openxmlformats.org/officeDocument/2006/relationships/hyperlink" Target="https://doi.org/10.1007/s11548-013-0926-3" TargetMode="External"/><Relationship Id="rIddetdgarf2sac4gvp491qp" Type="http://schemas.openxmlformats.org/officeDocument/2006/relationships/hyperlink" Target="https://arxiv.org/abs/1905.11946" TargetMode="External"/><Relationship Id="rIdphm4elf10mfk5sy-3p3un" Type="http://schemas.openxmlformats.org/officeDocument/2006/relationships/hyperlink" Target="https://arxiv.org/abs/2007.00644" TargetMode="External"/><Relationship Id="rId7r3qr-f_dapjxjnzfd_fc" Type="http://schemas.openxmlformats.org/officeDocument/2006/relationships/hyperlink" Target="https://arxiv.org/abs/2209.00613" TargetMode="External"/><Relationship Id="rId9jtt65rqdj-ikr6gd8u7g" Type="http://schemas.openxmlformats.org/officeDocument/2006/relationships/hyperlink" Target="https://doi.org/10.1109/IROS.2017.8202133" TargetMode="External"/><Relationship Id="rIdhhqolejkyhx67egfveu0-" Type="http://schemas.openxmlformats.org/officeDocument/2006/relationships/hyperlink" Target="https://doi.org/10.1109/CVPR.2011.5995347" TargetMode="External"/><Relationship Id="rIdmnl4itah7as7dlj7ewvwe" Type="http://schemas.openxmlformats.org/officeDocument/2006/relationships/hyperlink" Target="https://doi.org/10.1109/CVPRW.2018.00143" TargetMode="External"/><Relationship Id="rIdizjwc0muqxrluyq0vck5o" Type="http://schemas.openxmlformats.org/officeDocument/2006/relationships/hyperlink" Target="https://arxiv.org/abs/2310.16524" TargetMode="External"/><Relationship Id="rIdh5s-xzxmtruu8zduj9gmb" Type="http://schemas.openxmlformats.org/officeDocument/2006/relationships/hyperlink" Target="https://doi.org/10.1038/s41598-020-78799-w" TargetMode="External"/><Relationship Id="rIdyx8kc4i31pteymfatckgs" Type="http://schemas.openxmlformats.org/officeDocument/2006/relationships/hyperlink" Target="https://doi.org/10.3390/info15030140" TargetMode="External"/><Relationship Id="rIdgvc6xsq-fsrhmacrje1vx" Type="http://schemas.openxmlformats.org/officeDocument/2006/relationships/hyperlink" Target="https://doi.org/10.1038/s41598-021-82017-6" TargetMode="External"/><Relationship Id="rIdm80vcrzjteytb-bfgy76l" Type="http://schemas.openxmlformats.org/officeDocument/2006/relationships/hyperlink" Target="https://arxiv.org/abs/2105.15203" TargetMode="External"/><Relationship Id="rIdbvqefal-vfpgmvvewnua2" Type="http://schemas.openxmlformats.org/officeDocument/2006/relationships/hyperlink" Target="https://doi.org/10.1016/j.media.2024.103153" TargetMode="External"/><Relationship Id="rIdeaoszaaiumkyav8d4anru" Type="http://schemas.openxmlformats.org/officeDocument/2006/relationships/hyperlink" Target="https://arxiv.org/abs/2507.05195" TargetMode="External"/><Relationship Id="rIdhxven0ydduerkntavs7ea" Type="http://schemas.openxmlformats.org/officeDocument/2006/relationships/hyperlink" Target="https://doi.org/10.1109/ACCESS.2022.3194529" TargetMode="External"/><Relationship Id="rIdywnfpyuzpvxqfsm1lhxrl" Type="http://schemas.openxmlformats.org/officeDocument/2006/relationships/hyperlink" Target="https://doi.org/10.1109/CVPR.2017.660" TargetMode="External"/><Relationship Id="rIdmohtqvgqrpnmiup9vi0sm" Type="http://schemas.openxmlformats.org/officeDocument/2006/relationships/hyperlink" Target="https://doi.org/10.1007/978-3-030-00889-5_1" TargetMode="External"/><Relationship Id="rId7" Type="http://schemas.openxmlformats.org/officeDocument/2006/relationships/image" Target="media/66827d4dd01193baf96b2d7e2d0f8705a6143627.png"/><Relationship Id="rId8" Type="http://schemas.openxmlformats.org/officeDocument/2006/relationships/image" Target="media/8fa5fe9474d44562b25346efd1756f1516245939.png"/><Relationship Id="rId9" Type="http://schemas.openxmlformats.org/officeDocument/2006/relationships/image" Target="media/d8f8f55cf7fa7744df4c3412b4f30d1715e05de9.png"/><Relationship Id="rId10" Type="http://schemas.openxmlformats.org/officeDocument/2006/relationships/image" Target="media/64acceb54528caf9c0fd87a31065bf2df9b116a3.png"/><Relationship Id="rId11" Type="http://schemas.openxmlformats.org/officeDocument/2006/relationships/image" Target="media/467a591d02bd15c211bd2defdac6524e51c6df07.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clinical reference and the method pool determine synthetic benchmark validity in medical image segmentation</dc:title>
  <cp:lastModifiedBy>Un-named</cp:lastModifiedBy>
  <cp:revision>1</cp:revision>
  <dcterms:created xsi:type="dcterms:W3CDTF">2026-10-08T12:51:22.962Z</dcterms:created>
  <dcterms:modified xsi:type="dcterms:W3CDTF">2026-10-08T12:51:22.971Z</dcterms:modified>
</cp:coreProperties>
</file>

<file path=docProps/custom.xml><?xml version="1.0" encoding="utf-8"?>
<Properties xmlns="http://schemas.openxmlformats.org/officeDocument/2006/custom-properties" xmlns:vt="http://schemas.openxmlformats.org/officeDocument/2006/docPropsVTypes"/>
</file>