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left"/>
      </w:pPr>
      <w:r>
        <w:rPr>
          <w:rFonts w:ascii="Times New Roman" w:cs="Times New Roman" w:eastAsia="Times New Roman" w:hAnsi="Times New Roman"/>
          <w:b/>
          <w:bCs/>
          <w:color w:val="000000"/>
          <w:sz w:val="30"/>
          <w:szCs w:val="30"/>
        </w:rPr>
        <w:t xml:space="preserve">How the clinical reference and the method pool determine synthetic benchmark validity in medical image segmentation</w:t>
      </w:r>
    </w:p>
    <w:p>
      <w:pPr>
        <w:pBdr>
          <w:bottom w:val="single" w:color="8C8C8C" w:sz="6" w:space="8"/>
        </w:pBdr>
        <w:spacing w:after="220"/>
      </w:pPr>
      <w:r>
        <w:rPr>
          <w:rFonts w:ascii="Times New Roman" w:cs="Times New Roman" w:eastAsia="Times New Roman" w:hAnsi="Times New Roman"/>
          <w:sz w:val="2"/>
          <w:szCs w:val="2"/>
        </w:rPr>
        <w:t xml:space="preserve"/>
      </w:r>
    </w:p>
    <w:p>
      <w:pPr>
        <w:pStyle w:val="Heading2"/>
        <w:keepNext/>
        <w:spacing w:after="120" w:before="260"/>
      </w:pPr>
      <w:r>
        <w:rPr>
          <w:rFonts w:ascii="Times New Roman" w:cs="Times New Roman" w:eastAsia="Times New Roman" w:hAnsi="Times New Roman"/>
          <w:b/>
          <w:bCs/>
          <w:color w:val="000000"/>
          <w:sz w:val="23"/>
          <w:szCs w:val="23"/>
        </w:rPr>
        <w:t xml:space="preserve">Abstract</w:t>
      </w:r>
    </w:p>
    <w:p>
      <w:pPr>
        <w:spacing w:after="140" w:line="276"/>
        <w:jc w:val="both"/>
      </w:pPr>
      <w:r>
        <w:rPr>
          <w:rFonts w:ascii="Times New Roman" w:cs="Times New Roman" w:eastAsia="Times New Roman" w:hAnsi="Times New Roman"/>
          <w:b/>
          <w:bCs/>
          <w:color w:val="000000"/>
          <w:sz w:val="22"/>
          <w:szCs w:val="22"/>
        </w:rPr>
        <w:t xml:space="preserve">Purpose.</w:t>
      </w:r>
      <w:r>
        <w:rPr>
          <w:rFonts w:ascii="Times New Roman" w:cs="Times New Roman" w:eastAsia="Times New Roman" w:hAnsi="Times New Roman"/>
          <w:color w:val="000000"/>
          <w:sz w:val="22"/>
          <w:szCs w:val="22"/>
        </w:rPr>
        <w:t xml:space="preserve"> Synthetic test sets for medical image segmentation are usually validated by showing that they rank methods the way a clinical dataset does. We measured how much this figure depends on the clinical dataset and on the methods compared.</w:t>
      </w:r>
    </w:p>
    <w:p>
      <w:pPr>
        <w:spacing w:after="140" w:line="276"/>
        <w:jc w:val="both"/>
      </w:pPr>
      <w:r>
        <w:rPr>
          <w:rFonts w:ascii="Times New Roman" w:cs="Times New Roman" w:eastAsia="Times New Roman" w:hAnsi="Times New Roman"/>
          <w:b/>
          <w:bCs/>
          <w:color w:val="000000"/>
          <w:sz w:val="22"/>
          <w:szCs w:val="22"/>
        </w:rPr>
        <w:t xml:space="preserve">Methods.</w:t>
      </w:r>
      <w:r>
        <w:rPr>
          <w:rFonts w:ascii="Times New Roman" w:cs="Times New Roman" w:eastAsia="Times New Roman" w:hAnsi="Times New Roman"/>
          <w:color w:val="000000"/>
          <w:sz w:val="22"/>
          <w:szCs w:val="22"/>
        </w:rPr>
        <w:t xml:space="preserve"> We scored 57 segmentation methods in four groups: 18 classical methods without training, 14 methods trained from scratch on wound photographs, the same 14 trained on colonoscopy images, and 11 modern models (ten ImageNet-pretrained architectures and nnU-Net) trained on wound photographs. Each was scored on 11 public clinical datasets in four modalities, a within-dataset control and parametric synthetic wound benchmarks. Agreement was the Spearman correlation of per-method mean Dice, with method-bootstrap intervals and exact permutation tests.</w:t>
      </w:r>
    </w:p>
    <w:p>
      <w:pPr>
        <w:spacing w:after="140" w:line="276"/>
        <w:jc w:val="both"/>
      </w:pPr>
      <w:r>
        <w:rPr>
          <w:rFonts w:ascii="Times New Roman" w:cs="Times New Roman" w:eastAsia="Times New Roman" w:hAnsi="Times New Roman"/>
          <w:b/>
          <w:bCs/>
          <w:color w:val="000000"/>
          <w:sz w:val="22"/>
          <w:szCs w:val="22"/>
        </w:rPr>
        <w:t xml:space="preserve">Results.</w:t>
      </w:r>
      <w:r>
        <w:rPr>
          <w:rFonts w:ascii="Times New Roman" w:cs="Times New Roman" w:eastAsia="Times New Roman" w:hAnsi="Times New Roman"/>
          <w:color w:val="000000"/>
          <w:sz w:val="22"/>
          <w:szCs w:val="22"/>
        </w:rPr>
        <w:t xml:space="preserve"> Within every group, same-modality datasets agreed more than different-modality datasets (difference 0.46 to 0.60, p at most 0.005). Pooling classical and modern methods created agreement absent within either group: wound datasets agreed at 0.80 (95% interval 0.75 to 0.86) over the pooled 29 methods but at 0.13 (-0.12 to 0.41) among the modern models, although each dataset alone ranked them reproducibly. A synthetic benchmark agreed with clinical wound data at 0.72 (0.53 to 0.85) over the pool and at 0.35 (-0.07 to 0.63) among the modern models. Its apparent gain from background texture appeared only in pooled sets.</w:t>
      </w:r>
    </w:p>
    <w:p>
      <w:pPr>
        <w:spacing w:after="140" w:line="276"/>
        <w:jc w:val="both"/>
      </w:pPr>
      <w:r>
        <w:rPr>
          <w:rFonts w:ascii="Times New Roman" w:cs="Times New Roman" w:eastAsia="Times New Roman" w:hAnsi="Times New Roman"/>
          <w:b/>
          <w:bCs/>
          <w:color w:val="000000"/>
          <w:sz w:val="22"/>
          <w:szCs w:val="22"/>
        </w:rPr>
        <w:t xml:space="preserve">Conclusions.</w:t>
      </w:r>
      <w:r>
        <w:rPr>
          <w:rFonts w:ascii="Times New Roman" w:cs="Times New Roman" w:eastAsia="Times New Roman" w:hAnsi="Times New Roman"/>
          <w:color w:val="000000"/>
          <w:sz w:val="22"/>
          <w:szCs w:val="22"/>
        </w:rPr>
        <w:t xml:space="preserve"> A validity figure for a synthetic benchmark reflects the method pool and the clinical reference as much as the benchmark. Validation should be reported within the methods to be compared, against several clinical datasets.</w:t>
      </w:r>
    </w:p>
    <w:p>
      <w:pPr>
        <w:spacing w:after="200" w:line="276"/>
        <w:jc w:val="both"/>
      </w:pPr>
      <w:r>
        <w:rPr>
          <w:rFonts w:ascii="Times New Roman" w:cs="Times New Roman" w:eastAsia="Times New Roman" w:hAnsi="Times New Roman"/>
          <w:b/>
          <w:bCs/>
          <w:color w:val="000000"/>
          <w:sz w:val="22"/>
          <w:szCs w:val="22"/>
        </w:rPr>
        <w:t xml:space="preserve">Keywords</w:t>
      </w:r>
      <w:r>
        <w:rPr>
          <w:rFonts w:ascii="Times New Roman" w:cs="Times New Roman" w:eastAsia="Times New Roman" w:hAnsi="Times New Roman"/>
          <w:color w:val="000000"/>
          <w:sz w:val="22"/>
          <w:szCs w:val="22"/>
        </w:rPr>
        <w:t xml:space="preserve"> Benchmark validity; Rank agreement; Synthetic data; Wound imaging; Image segmentation; Evaluation methodology</w:t>
      </w:r>
    </w:p>
    <w:p>
      <w:pPr>
        <w:pStyle w:val="Heading1"/>
        <w:keepNext/>
        <w:spacing w:after="160" w:before="360"/>
      </w:pPr>
      <w:r>
        <w:rPr>
          <w:rFonts w:ascii="Times New Roman" w:cs="Times New Roman" w:eastAsia="Times New Roman" w:hAnsi="Times New Roman"/>
          <w:b/>
          <w:bCs/>
          <w:color w:val="000000"/>
          <w:sz w:val="26"/>
          <w:szCs w:val="26"/>
        </w:rPr>
        <w:t xml:space="preserve">Introduction</w:t>
      </w:r>
    </w:p>
    <w:p>
      <w:pPr>
        <w:spacing w:after="140" w:line="276"/>
        <w:jc w:val="both"/>
      </w:pPr>
      <w:r>
        <w:rPr>
          <w:rFonts w:ascii="Times New Roman" w:cs="Times New Roman" w:eastAsia="Times New Roman" w:hAnsi="Times New Roman"/>
          <w:color w:val="000000"/>
          <w:sz w:val="22"/>
          <w:szCs w:val="22"/>
        </w:rPr>
        <w:t xml:space="preserve">Segmentation software is increasingly evaluated before it reaches a clinic, by vendors comparing candidate models, by hospitals validating a product on local data and by regulators considering computational evidence. Synthetic and simulated images are attractive for this purpose because they come with exact ground truth and can be generated in any quantity, and in-silico trials and edited images have already been used to evaluate and stress-test medical models [1-4]. Rankings of segmentation methods are, however, known to be fragile. They change with the test cases, the metric, the aggregation rule and the annotators [5, 6], with the choice of benchmark [7, 8] and with the hospital the test data come from [9-11].</w:t>
      </w:r>
    </w:p>
    <w:p>
      <w:pPr>
        <w:spacing w:after="140" w:line="276"/>
        <w:jc w:val="both"/>
      </w:pPr>
      <w:r>
        <w:rPr>
          <w:rFonts w:ascii="Times New Roman" w:cs="Times New Roman" w:eastAsia="Times New Roman" w:hAnsi="Times New Roman"/>
          <w:color w:val="000000"/>
          <w:sz w:val="22"/>
          <w:szCs w:val="22"/>
        </w:rPr>
        <w:t xml:space="preserve">The usual evidence that a synthetic test set is trustworthy is a rank correlation between method scores on the synthetic set and on one clinical dataset, sometimes expressed relative to the agreement between two real datasets [12, 13]. Synthetic data have been proposed for model validation and selection on the same basis [14-16], and in computed tomography the transfer of rankings from synthetic to real data has been shown to depend on the task [17]. Such a correlation is computed over a particular set of methods. Outside medical imaging it is established that agreement between benchmarks depends on which models are compared [18, 19], and that the correlation between in-distribution and out-of-distribution performance depends on how the models were selected and trained [20-22]. When groups of methods change order between domains, pooling them produces correlations that hold in neither group, a form of Simpson's paradox [23, 24].</w:t>
      </w:r>
    </w:p>
    <w:p>
      <w:pPr>
        <w:spacing w:after="140" w:line="276"/>
        <w:jc w:val="both"/>
      </w:pPr>
      <w:r>
        <w:rPr>
          <w:rFonts w:ascii="Times New Roman" w:cs="Times New Roman" w:eastAsia="Times New Roman" w:hAnsi="Times New Roman"/>
          <w:color w:val="000000"/>
          <w:sz w:val="22"/>
          <w:szCs w:val="22"/>
        </w:rPr>
        <w:t xml:space="preserve">Medical segmentation studies often pool exactly such groups. Wound segmentation studies, for example, compare classical colour and threshold methods with trained networks [25, 26], and a synthetic benchmark validated over such a pool inherits whatever the pooling does to the correlation. How large these effects are for segmentation, and what they imply for validating a synthetic benchmark, has not been measured.</w:t>
      </w:r>
    </w:p>
    <w:p>
      <w:pPr>
        <w:spacing w:after="140" w:line="276"/>
        <w:jc w:val="both"/>
      </w:pPr>
      <w:r>
        <w:rPr>
          <w:rFonts w:ascii="Times New Roman" w:cs="Times New Roman" w:eastAsia="Times New Roman" w:hAnsi="Times New Roman"/>
          <w:color w:val="000000"/>
          <w:sz w:val="22"/>
          <w:szCs w:val="22"/>
        </w:rPr>
        <w:t xml:space="preserve">We scored 57 methods in four homogeneous groups on 11 clinical datasets from eight sources in four modalities and on synthetic wound benchmarks from three generator families, and asked three questions. First, whether agreement between clinical datasets is organised by modality within each group. Second, how much pooling groups changes that agreement. Third, what this implies for the measured validity of a synthetic benchmark. The contributions are:</w:t>
      </w:r>
    </w:p>
    <w:p>
      <w:pPr>
        <w:spacing w:after="140" w:line="276"/>
        <w:ind w:left="240"/>
        <w:jc w:val="both"/>
      </w:pPr>
      <w:r>
        <w:rPr>
          <w:rFonts w:ascii="Times New Roman" w:cs="Times New Roman" w:eastAsia="Times New Roman" w:hAnsi="Times New Roman"/>
          <w:color w:val="000000"/>
          <w:sz w:val="22"/>
          <w:szCs w:val="22"/>
        </w:rPr>
        <w:t xml:space="preserve">1. Evidence from four method groups, including pretrained architectures and nnU-Net, that rank agreement between clinical datasets is higher within a modality than across modalities, with exact tests that respect the dependence between pairs.</w:t>
      </w:r>
    </w:p>
    <w:p>
      <w:pPr>
        <w:spacing w:after="140" w:line="276"/>
        <w:ind w:left="240"/>
        <w:jc w:val="both"/>
      </w:pPr>
      <w:r>
        <w:rPr>
          <w:rFonts w:ascii="Times New Roman" w:cs="Times New Roman" w:eastAsia="Times New Roman" w:hAnsi="Times New Roman"/>
          <w:color w:val="000000"/>
          <w:sz w:val="22"/>
          <w:szCs w:val="22"/>
        </w:rPr>
        <w:t xml:space="preserve">2. A measurement of the composition effect in segmentation: pooling untrained with trained methods raises agreement between wound datasets from 0.13 to 0.80 and turns agreement between wound and other datasets negative, and a mirror experiment with colonoscopy-trained methods shows when the effect appears and when it does not.</w:t>
      </w:r>
    </w:p>
    <w:p>
      <w:pPr>
        <w:spacing w:after="140" w:line="276"/>
        <w:ind w:left="240"/>
        <w:jc w:val="both"/>
      </w:pPr>
      <w:r>
        <w:rPr>
          <w:rFonts w:ascii="Times New Roman" w:cs="Times New Roman" w:eastAsia="Times New Roman" w:hAnsi="Times New Roman"/>
          <w:color w:val="000000"/>
          <w:sz w:val="22"/>
          <w:szCs w:val="22"/>
        </w:rPr>
        <w:t xml:space="preserve">3. A demonstration that the measured validity of a synthetic benchmark follows the method pool, together with the finding that wound datasets that each rank modern models reproducibly do not rank them alike, so a benchmark cannot be validated against them for that purpose.</w:t>
      </w:r>
    </w:p>
    <w:p>
      <w:pPr>
        <w:pStyle w:val="Heading1"/>
        <w:keepNext/>
        <w:spacing w:after="160" w:before="360"/>
      </w:pPr>
      <w:r>
        <w:rPr>
          <w:rFonts w:ascii="Times New Roman" w:cs="Times New Roman" w:eastAsia="Times New Roman" w:hAnsi="Times New Roman"/>
          <w:b/>
          <w:bCs/>
          <w:color w:val="000000"/>
          <w:sz w:val="26"/>
          <w:szCs w:val="26"/>
        </w:rPr>
        <w:t xml:space="preserve">Materials and Methods</w:t>
      </w:r>
    </w:p>
    <w:p>
      <w:pPr>
        <w:pStyle w:val="Heading2"/>
        <w:keepNext/>
        <w:spacing w:after="120" w:before="260"/>
      </w:pPr>
      <w:r>
        <w:rPr>
          <w:rFonts w:ascii="Times New Roman" w:cs="Times New Roman" w:eastAsia="Times New Roman" w:hAnsi="Times New Roman"/>
          <w:b/>
          <w:bCs/>
          <w:color w:val="000000"/>
          <w:sz w:val="23"/>
          <w:szCs w:val="23"/>
        </w:rPr>
        <w:t xml:space="preserve">Clinical datasets</w:t>
      </w:r>
    </w:p>
    <w:p>
      <w:pPr>
        <w:spacing w:after="100" w:line="276"/>
        <w:jc w:val="both"/>
      </w:pPr>
      <w:r>
        <w:rPr>
          <w:rFonts w:ascii="Times New Roman" w:cs="Times New Roman" w:eastAsia="Times New Roman" w:hAnsi="Times New Roman"/>
          <w:color w:val="000000"/>
          <w:sz w:val="22"/>
          <w:szCs w:val="22"/>
        </w:rPr>
        <w:t xml:space="preserve">Eleven public datasets serve as clinical references (Table 1). The wound photographs are Medetec [27], CO2Wounds-V2 [28], the FUSeg challenge validation set [29] and the AZH chronic wound dataset [30]. FUSeg and AZH were collected at one wound centre and are treated as one source; CO2Wounds-V2 contains 764 smartphone photographs from 96 leprosy patients in Colombia [28] and shares no source with any other dataset. The colonoscopy datasets are Kvasir-SEG [31] and its sessile subset, CVC-ClinicDB [32], CVC-ColonDB [33] and ETIS-LaribPolypDB [34]; the two CVC sets come from one group and are one source. PH2 [35] is the dermoscopy reference and the TN3K test split [36] the thyroid ultrasound reference. A disjoint slice of the AZH training set serves as a within-dataset control.</w:t>
      </w:r>
    </w:p>
    <w:p>
      <w:pPr>
        <w:spacing w:after="100" w:line="276"/>
        <w:jc w:val="both"/>
      </w:pPr>
      <w:r>
        <w:rPr>
          <w:rFonts w:ascii="Times New Roman" w:cs="Times New Roman" w:eastAsia="Times New Roman" w:hAnsi="Times New Roman"/>
          <w:color w:val="000000"/>
          <w:sz w:val="22"/>
          <w:szCs w:val="22"/>
        </w:rPr>
        <w:t xml:space="preserve">The Kvasir reference was drawn only from images outside the sessile subset, so the two Kvasir references share no image. For CO2Wounds-V2 and the five other non-wound datasets, 150 image and mask pairs were taken evenly spaced over the files sorted by number, because consecutive colonoscopy frames are near duplicates. Images in these six sets were resampled so that the long side is at most 256 pixels; wound masks were binarised at any non-zero value and all others above 127. Medetec's 152 images are 38 photographs with four variants each.</w:t>
      </w:r>
    </w:p>
    <w:p>
      <w:pPr>
        <w:spacing w:after="140" w:line="276"/>
        <w:jc w:val="both"/>
      </w:pPr>
      <w:r>
        <w:rPr>
          <w:rFonts w:ascii="Times New Roman" w:cs="Times New Roman" w:eastAsia="Times New Roman" w:hAnsi="Times New Roman"/>
          <w:color w:val="000000"/>
          <w:sz w:val="22"/>
          <w:szCs w:val="22"/>
        </w:rPr>
        <w:t xml:space="preserve">Duplicated evaluation images were removed before any analysis. Eight FUSeg validation images are byte-identical to FUSeg training images or to another validation image. Feature matching (SIFT with RANSAC, at least 25 geometrically consistent matches) showed that 47 of the 150 control images are crops of FUSeg photographs, 35 of them of images used for training; these were removed, leaving 103. The AZH test images match no FUSeg image used by any method.</w:t>
      </w:r>
    </w:p>
    <w:p>
      <w:pPr>
        <w:keepNext/>
        <w:spacing w:after="90" w:before="200" w:line="260"/>
      </w:pPr>
      <w:r>
        <w:rPr>
          <w:rFonts w:ascii="Times New Roman" w:cs="Times New Roman" w:eastAsia="Times New Roman" w:hAnsi="Times New Roman"/>
          <w:b/>
          <w:bCs/>
          <w:color w:val="000000"/>
          <w:sz w:val="19"/>
          <w:szCs w:val="19"/>
        </w:rPr>
        <w:t xml:space="preserve">Table 1. </w:t>
      </w:r>
      <w:r>
        <w:rPr>
          <w:rFonts w:ascii="Times New Roman" w:cs="Times New Roman" w:eastAsia="Times New Roman" w:hAnsi="Times New Roman"/>
          <w:color w:val="3F3F3F"/>
          <w:sz w:val="19"/>
          <w:szCs w:val="19"/>
        </w:rPr>
        <w:t xml:space="preserve">Clinical datasets after removal of duplicated images. Lesion fraction is the median share of image pixels inside the reference mask.</w:t>
      </w:r>
    </w:p>
    <w:tbl>
      <w:tblPr>
        <w:tblW w:type="dxa" w:w="9360"/>
        <w:tblBorders>
          <w:top w:val="single" w:color="8C8C8C" w:sz="8"/>
          <w:left w:val="none"/>
          <w:bottom w:val="single" w:color="8C8C8C" w:sz="8"/>
          <w:right w:val="none"/>
          <w:insideH w:val="single" w:color="CFCFCF" w:sz="2"/>
          <w:insideV w:val="none"/>
        </w:tblBorders>
      </w:tblPr>
      <w:tblGrid>
        <w:gridCol w:w="2350"/>
        <w:gridCol w:w="1800"/>
        <w:gridCol w:w="1950"/>
        <w:gridCol w:w="600"/>
        <w:gridCol w:w="1100"/>
        <w:gridCol w:w="1560"/>
      </w:tblGrid>
      <w:tr>
        <w:trPr>
          <w:tblHeader/>
        </w:trPr>
        <w:tc>
          <w:tcPr>
            <w:tcW w:type="dxa" w:w="235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Dataset</w:t>
            </w:r>
          </w:p>
        </w:tc>
        <w:tc>
          <w:tcPr>
            <w:tcW w:type="dxa" w:w="18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Modality</w:t>
            </w:r>
          </w:p>
        </w:tc>
        <w:tc>
          <w:tcPr>
            <w:tcW w:type="dxa" w:w="195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Source</w:t>
            </w:r>
          </w:p>
        </w:tc>
        <w:tc>
          <w:tcPr>
            <w:tcW w:type="dxa" w:w="6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n</w:t>
            </w:r>
          </w:p>
        </w:tc>
        <w:tc>
          <w:tcPr>
            <w:tcW w:type="dxa" w:w="11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Empty masks</w:t>
            </w:r>
          </w:p>
        </w:tc>
        <w:tc>
          <w:tcPr>
            <w:tcW w:type="dxa" w:w="156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Lesion fraction</w:t>
            </w:r>
          </w:p>
        </w:tc>
      </w:tr>
      <w:tr>
        <w:trPr>
          <w:cantSplit/>
        </w:trPr>
        <w:tc>
          <w:tcPr>
            <w:tcW w:type="dxa" w:w="23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Medetec</w:t>
            </w:r>
          </w:p>
        </w:tc>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Wound photography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Medetec archive</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152</w:t>
            </w:r>
          </w:p>
        </w:tc>
        <w:tc>
          <w:tcPr>
            <w:tcW w:type="dxa" w:w="11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5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0.098</w:t>
            </w:r>
          </w:p>
        </w:tc>
      </w:tr>
      <w:tr>
        <w:trPr>
          <w:cantSplit/>
        </w:trPr>
        <w:tc>
          <w:tcPr>
            <w:tcW w:type="dxa" w:w="23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CO2Wounds-V2</w:t>
            </w:r>
          </w:p>
        </w:tc>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Wound photography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Leprosy clinic, Colombia</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11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5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0.045</w:t>
            </w:r>
          </w:p>
        </w:tc>
      </w:tr>
      <w:tr>
        <w:trPr>
          <w:cantSplit/>
        </w:trPr>
        <w:tc>
          <w:tcPr>
            <w:tcW w:type="dxa" w:w="23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FUSeg (validation)</w:t>
            </w:r>
          </w:p>
        </w:tc>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Wound photography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AZH Wound Center</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112</w:t>
            </w:r>
          </w:p>
        </w:tc>
        <w:tc>
          <w:tcPr>
            <w:tcW w:type="dxa" w:w="11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4</w:t>
            </w:r>
          </w:p>
        </w:tc>
        <w:tc>
          <w:tcPr>
            <w:tcW w:type="dxa" w:w="15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0.007</w:t>
            </w:r>
          </w:p>
        </w:tc>
      </w:tr>
      <w:tr>
        <w:trPr>
          <w:cantSplit/>
        </w:trPr>
        <w:tc>
          <w:tcPr>
            <w:tcW w:type="dxa" w:w="23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AZH (test)</w:t>
            </w:r>
          </w:p>
        </w:tc>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Wound photography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AZH Wound Center</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11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10</w:t>
            </w:r>
          </w:p>
        </w:tc>
        <w:tc>
          <w:tcPr>
            <w:tcW w:type="dxa" w:w="15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0.019</w:t>
            </w:r>
          </w:p>
        </w:tc>
      </w:tr>
      <w:tr>
        <w:trPr>
          <w:cantSplit/>
        </w:trPr>
        <w:tc>
          <w:tcPr>
            <w:tcW w:type="dxa" w:w="23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AZH train slice (control)</w:t>
            </w:r>
          </w:p>
        </w:tc>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Wound photography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AZH Wound Center</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103</w:t>
            </w:r>
          </w:p>
        </w:tc>
        <w:tc>
          <w:tcPr>
            <w:tcW w:type="dxa" w:w="11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8</w:t>
            </w:r>
          </w:p>
        </w:tc>
        <w:tc>
          <w:tcPr>
            <w:tcW w:type="dxa" w:w="15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0.011</w:t>
            </w:r>
          </w:p>
        </w:tc>
      </w:tr>
      <w:tr>
        <w:trPr>
          <w:cantSplit/>
        </w:trPr>
        <w:tc>
          <w:tcPr>
            <w:tcW w:type="dxa" w:w="23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w:t>
            </w:r>
          </w:p>
        </w:tc>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Colonoscopy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 collection</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120</w:t>
            </w:r>
          </w:p>
        </w:tc>
        <w:tc>
          <w:tcPr>
            <w:tcW w:type="dxa" w:w="11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5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0.128</w:t>
            </w:r>
          </w:p>
        </w:tc>
      </w:tr>
      <w:tr>
        <w:trPr>
          <w:cantSplit/>
        </w:trPr>
        <w:tc>
          <w:tcPr>
            <w:tcW w:type="dxa" w:w="23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Kvasir-sessile</w:t>
            </w:r>
          </w:p>
        </w:tc>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Colonoscopy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 collection</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120</w:t>
            </w:r>
          </w:p>
        </w:tc>
        <w:tc>
          <w:tcPr>
            <w:tcW w:type="dxa" w:w="11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5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0.043</w:t>
            </w:r>
          </w:p>
        </w:tc>
      </w:tr>
      <w:tr>
        <w:trPr>
          <w:cantSplit/>
        </w:trPr>
        <w:tc>
          <w:tcPr>
            <w:tcW w:type="dxa" w:w="23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CVC-ClinicDB</w:t>
            </w:r>
          </w:p>
        </w:tc>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Colonoscopy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CVC, Barcelona</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11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5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0.067</w:t>
            </w:r>
          </w:p>
        </w:tc>
      </w:tr>
      <w:tr>
        <w:trPr>
          <w:cantSplit/>
        </w:trPr>
        <w:tc>
          <w:tcPr>
            <w:tcW w:type="dxa" w:w="23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CVC-ColonDB</w:t>
            </w:r>
          </w:p>
        </w:tc>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Colonoscopy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CVC, Barcelona</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11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5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0.038</w:t>
            </w:r>
          </w:p>
        </w:tc>
      </w:tr>
      <w:tr>
        <w:trPr>
          <w:cantSplit/>
        </w:trPr>
        <w:tc>
          <w:tcPr>
            <w:tcW w:type="dxa" w:w="23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ETIS-Larib</w:t>
            </w:r>
          </w:p>
        </w:tc>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Colonoscopy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ETIS, Paris</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11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5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0.020</w:t>
            </w:r>
          </w:p>
        </w:tc>
      </w:tr>
      <w:tr>
        <w:trPr>
          <w:cantSplit/>
        </w:trPr>
        <w:tc>
          <w:tcPr>
            <w:tcW w:type="dxa" w:w="23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PH2</w:t>
            </w:r>
          </w:p>
        </w:tc>
        <w:tc>
          <w:tcPr>
            <w:tcW w:type="dxa" w:w="18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Dermoscopy</w:t>
            </w:r>
          </w:p>
        </w:tc>
        <w:tc>
          <w:tcPr>
            <w:tcW w:type="dxa" w:w="19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Porto</w:t>
            </w:r>
          </w:p>
        </w:tc>
        <w:tc>
          <w:tcPr>
            <w:tcW w:type="dxa" w:w="6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11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5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0.231</w:t>
            </w:r>
          </w:p>
        </w:tc>
      </w:tr>
      <w:tr>
        <w:trPr>
          <w:cantSplit/>
        </w:trPr>
        <w:tc>
          <w:tcPr>
            <w:tcW w:type="dxa" w:w="235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TN3K (test)</w:t>
            </w:r>
          </w:p>
        </w:tc>
        <w:tc>
          <w:tcPr>
            <w:tcW w:type="dxa" w:w="18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Thyroid ultrasound</w:t>
            </w:r>
          </w:p>
        </w:tc>
        <w:tc>
          <w:tcPr>
            <w:tcW w:type="dxa" w:w="195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TN3K</w:t>
            </w:r>
          </w:p>
        </w:tc>
        <w:tc>
          <w:tcPr>
            <w:tcW w:type="dxa" w:w="6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150</w:t>
            </w:r>
          </w:p>
        </w:tc>
        <w:tc>
          <w:tcPr>
            <w:tcW w:type="dxa" w:w="11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w:t>
            </w:r>
          </w:p>
        </w:tc>
        <w:tc>
          <w:tcPr>
            <w:tcW w:type="dxa" w:w="156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0.066</w:t>
            </w:r>
          </w:p>
        </w:tc>
      </w:tr>
    </w:tbl>
    <w:p>
      <w:pPr>
        <w:pStyle w:val="Heading2"/>
        <w:keepNext/>
        <w:spacing w:after="120" w:before="260"/>
      </w:pPr>
      <w:r>
        <w:rPr>
          <w:rFonts w:ascii="Times New Roman" w:cs="Times New Roman" w:eastAsia="Times New Roman" w:hAnsi="Times New Roman"/>
          <w:b/>
          <w:bCs/>
          <w:color w:val="000000"/>
          <w:sz w:val="23"/>
          <w:szCs w:val="23"/>
        </w:rPr>
        <w:t xml:space="preserve">Method groups</w:t>
      </w:r>
    </w:p>
    <w:p>
      <w:pPr>
        <w:spacing w:after="100" w:line="276"/>
        <w:jc w:val="both"/>
      </w:pPr>
      <w:r>
        <w:rPr>
          <w:rFonts w:ascii="Times New Roman" w:cs="Times New Roman" w:eastAsia="Times New Roman" w:hAnsi="Times New Roman"/>
          <w:color w:val="000000"/>
          <w:sz w:val="22"/>
          <w:szCs w:val="22"/>
        </w:rPr>
        <w:t xml:space="preserve">Fifty-seven methods form four groups that differ in training and in training domain (Table 2). The 18 untrained methods are thresholding, colour, clustering and region-growing algorithms with no learned parameters. The 14 from-scratch methods are three pixel classifiers (two logistic regressions and gradient boosting on colour and texture features), a three-level U-Net with 117,681 parameters and ten architectures from segmentation_models_pytorch [37] with randomly initialised encoders: U-Net [38], U-Net++ [39], DeepLabV3+ [40], FPN [41], PSPNet [42], LinkNet [43] and MA-Net [44] on ResNet-18 [45], U-Net on MobileNetV2 [46] and EfficientNet-B0 [47], and SegFormer on MiT-B0 [48].</w:t>
      </w:r>
    </w:p>
    <w:p>
      <w:pPr>
        <w:spacing w:after="100" w:line="276"/>
        <w:jc w:val="both"/>
      </w:pPr>
      <w:r>
        <w:rPr>
          <w:rFonts w:ascii="Times New Roman" w:cs="Times New Roman" w:eastAsia="Times New Roman" w:hAnsi="Times New Roman"/>
          <w:color w:val="000000"/>
          <w:sz w:val="22"/>
          <w:szCs w:val="22"/>
        </w:rPr>
        <w:t xml:space="preserve">The from-scratch group was trained on FUSeg training images. The pixel classifiers were fitted on 247,975 pixels sampled from images 0 to 249, balanced between lesion and background; one decision threshold (0.90) was swept for the logistic regression on images 250 to 399 and applied to all three. The small U-Net uses a threshold of 0.5. The ten architectures were trained on images 0 to 392 at 128 by 128 pixels for 30 epochs (Dice plus binary cross-entropy, Adam, learning rate 1e-3, horizontal flips) and each threshold was swept on images 400 to 549. The Kvasir-trained group repeats this protocol exactly on 684 Kvasir-SEG images that appear in neither Kvasir reference nor the sessile subset (pixel threshold 0.60).</w:t>
      </w:r>
    </w:p>
    <w:p>
      <w:pPr>
        <w:spacing w:after="100" w:line="276"/>
        <w:jc w:val="both"/>
      </w:pPr>
      <w:r>
        <w:rPr>
          <w:rFonts w:ascii="Times New Roman" w:cs="Times New Roman" w:eastAsia="Times New Roman" w:hAnsi="Times New Roman"/>
          <w:color w:val="000000"/>
          <w:sz w:val="22"/>
          <w:szCs w:val="22"/>
        </w:rPr>
        <w:t xml:space="preserve">The modern group consists of the same ten architectures with ImageNet-pretrained encoders [49], trained at 256 pixels with the aspect ratio preserved (AdamW, learning rate 3e-4 with cosine decay, 40 epochs, flips and 90-degree rotations), and nnU-Net v2 [50] in its 2D configuration trained for 100 epochs. All eleven used FUSeg training images 0 to 392 with the one image duplicated in the evaluation set removed, and thresholds for the ten architectures were swept on images 400 to 549. SAM [51] and MedSAM [52] were also run with box prompts taken from the reference masks; because those prompts give them the lesion location, they are reported only in Online Resource 1 and are not part of any pool.</w:t>
      </w:r>
    </w:p>
    <w:p>
      <w:pPr>
        <w:spacing w:after="140" w:line="276"/>
        <w:jc w:val="both"/>
      </w:pPr>
      <w:r>
        <w:rPr>
          <w:rFonts w:ascii="Times New Roman" w:cs="Times New Roman" w:eastAsia="Times New Roman" w:hAnsi="Times New Roman"/>
          <w:color w:val="000000"/>
          <w:sz w:val="22"/>
          <w:szCs w:val="22"/>
        </w:rPr>
        <w:t xml:space="preserve">Untrained methods receive morphological closing and opening with a 5-pixel elliptical element. Methods that output a probability map receive Gaussian smoothing with a standard deviation of 2 pixels before thresholding. Every method then has connected components smaller than 0.05% of the image removed.</w:t>
      </w:r>
    </w:p>
    <w:p>
      <w:pPr>
        <w:keepNext/>
        <w:spacing w:after="90" w:before="200" w:line="260"/>
      </w:pPr>
      <w:r>
        <w:rPr>
          <w:rFonts w:ascii="Times New Roman" w:cs="Times New Roman" w:eastAsia="Times New Roman" w:hAnsi="Times New Roman"/>
          <w:b/>
          <w:bCs/>
          <w:color w:val="000000"/>
          <w:sz w:val="19"/>
          <w:szCs w:val="19"/>
        </w:rPr>
        <w:t xml:space="preserve">Table 2. </w:t>
      </w:r>
      <w:r>
        <w:rPr>
          <w:rFonts w:ascii="Times New Roman" w:cs="Times New Roman" w:eastAsia="Times New Roman" w:hAnsi="Times New Roman"/>
          <w:color w:val="3F3F3F"/>
          <w:sz w:val="19"/>
          <w:szCs w:val="19"/>
        </w:rPr>
        <w:t xml:space="preserve">Method groups. Held-out Dice is on training-domain images not used for fitting; mean Dice is the range of group means over datasets.</w:t>
      </w:r>
    </w:p>
    <w:tbl>
      <w:tblPr>
        <w:tblW w:type="dxa" w:w="9360"/>
        <w:tblBorders>
          <w:top w:val="single" w:color="8C8C8C" w:sz="8"/>
          <w:left w:val="none"/>
          <w:bottom w:val="single" w:color="8C8C8C" w:sz="8"/>
          <w:right w:val="none"/>
          <w:insideH w:val="single" w:color="CFCFCF" w:sz="2"/>
          <w:insideV w:val="none"/>
        </w:tblBorders>
      </w:tblPr>
      <w:tblGrid>
        <w:gridCol w:w="1600"/>
        <w:gridCol w:w="500"/>
        <w:gridCol w:w="2500"/>
        <w:gridCol w:w="1500"/>
        <w:gridCol w:w="1630"/>
        <w:gridCol w:w="1630"/>
      </w:tblGrid>
      <w:tr>
        <w:trPr>
          <w:tblHeader/>
        </w:trPr>
        <w:tc>
          <w:tcPr>
            <w:tcW w:type="dxa" w:w="16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Group</w:t>
            </w:r>
          </w:p>
        </w:tc>
        <w:tc>
          <w:tcPr>
            <w:tcW w:type="dxa" w:w="5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n</w:t>
            </w:r>
          </w:p>
        </w:tc>
        <w:tc>
          <w:tcPr>
            <w:tcW w:type="dxa" w:w="25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Training data</w:t>
            </w:r>
          </w:p>
        </w:tc>
        <w:tc>
          <w:tcPr>
            <w:tcW w:type="dxa" w:w="15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Held-out Dice</w:t>
            </w:r>
          </w:p>
        </w:tc>
        <w:tc>
          <w:tcPr>
            <w:tcW w:type="dxa" w:w="163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Mean Dice, wound</w:t>
            </w:r>
          </w:p>
        </w:tc>
        <w:tc>
          <w:tcPr>
            <w:tcW w:type="dxa" w:w="163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Mean Dice, other</w:t>
            </w:r>
          </w:p>
        </w:tc>
      </w:tr>
      <w:tr>
        <w:trPr>
          <w:cantSplit/>
        </w:trPr>
        <w:tc>
          <w:tcPr>
            <w:tcW w:type="dxa" w:w="16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Untrained</w:t>
            </w:r>
          </w:p>
        </w:tc>
        <w:tc>
          <w:tcPr>
            <w:tcW w:type="dxa" w:w="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18</w:t>
            </w:r>
          </w:p>
        </w:tc>
        <w:tc>
          <w:tcPr>
            <w:tcW w:type="dxa" w:w="2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none</w:t>
            </w:r>
          </w:p>
        </w:tc>
        <w:tc>
          <w:tcPr>
            <w:tcW w:type="dxa" w:w="1500"/>
            <w:tcMar>
              <w:top w:type="dxa" w:w="60"/>
              <w:left w:type="dxa" w:w="90"/>
              <w:bottom w:type="dxa" w:w="60"/>
              <w:right w:type="dxa" w:w="90"/>
            </w:tcMar>
          </w:tcPr>
          <w:p>
            <w:pPr>
              <w:keepNext/>
              <w:spacing w:after="0" w:line="240"/>
              <w:jc w:val="right"/>
            </w:pPr>
          </w:p>
        </w:tc>
        <w:tc>
          <w:tcPr>
            <w:tcW w:type="dxa" w:w="163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0.06 to 0.30</w:t>
            </w:r>
          </w:p>
        </w:tc>
        <w:tc>
          <w:tcPr>
            <w:tcW w:type="dxa" w:w="163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0.07 to 0.49</w:t>
            </w:r>
          </w:p>
        </w:tc>
      </w:tr>
      <w:tr>
        <w:trPr>
          <w:cantSplit/>
        </w:trPr>
        <w:tc>
          <w:tcPr>
            <w:tcW w:type="dxa" w:w="16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From scratch</w:t>
            </w:r>
          </w:p>
        </w:tc>
        <w:tc>
          <w:tcPr>
            <w:tcW w:type="dxa" w:w="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14</w:t>
            </w:r>
          </w:p>
        </w:tc>
        <w:tc>
          <w:tcPr>
            <w:tcW w:type="dxa" w:w="2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FUSeg</w:t>
            </w:r>
          </w:p>
        </w:tc>
        <w:tc>
          <w:tcPr>
            <w:tcW w:type="dxa" w:w="15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0.51 to 0.64</w:t>
            </w:r>
          </w:p>
        </w:tc>
        <w:tc>
          <w:tcPr>
            <w:tcW w:type="dxa" w:w="163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0.28 to 0.53</w:t>
            </w:r>
          </w:p>
        </w:tc>
        <w:tc>
          <w:tcPr>
            <w:tcW w:type="dxa" w:w="163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0.01 to 0.13</w:t>
            </w:r>
          </w:p>
        </w:tc>
      </w:tr>
      <w:tr>
        <w:trPr>
          <w:cantSplit/>
        </w:trPr>
        <w:tc>
          <w:tcPr>
            <w:tcW w:type="dxa" w:w="16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Kvasir-trained</w:t>
            </w:r>
          </w:p>
        </w:tc>
        <w:tc>
          <w:tcPr>
            <w:tcW w:type="dxa" w:w="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14</w:t>
            </w:r>
          </w:p>
        </w:tc>
        <w:tc>
          <w:tcPr>
            <w:tcW w:type="dxa" w:w="25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Kvasir-SEG</w:t>
            </w:r>
          </w:p>
        </w:tc>
        <w:tc>
          <w:tcPr>
            <w:tcW w:type="dxa" w:w="15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0.66 to 0.81</w:t>
            </w:r>
          </w:p>
        </w:tc>
        <w:tc>
          <w:tcPr>
            <w:tcW w:type="dxa" w:w="163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0.08 to 0.29</w:t>
            </w:r>
          </w:p>
        </w:tc>
        <w:tc>
          <w:tcPr>
            <w:tcW w:type="dxa" w:w="163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0.07 to 0.64</w:t>
            </w:r>
          </w:p>
        </w:tc>
      </w:tr>
      <w:tr>
        <w:trPr>
          <w:cantSplit/>
        </w:trPr>
        <w:tc>
          <w:tcPr>
            <w:tcW w:type="dxa" w:w="16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Modern</w:t>
            </w:r>
          </w:p>
        </w:tc>
        <w:tc>
          <w:tcPr>
            <w:tcW w:type="dxa" w:w="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11</w:t>
            </w:r>
          </w:p>
        </w:tc>
        <w:tc>
          <w:tcPr>
            <w:tcW w:type="dxa" w:w="25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FUSeg, ImageNet encoders</w:t>
            </w:r>
          </w:p>
        </w:tc>
        <w:tc>
          <w:tcPr>
            <w:tcW w:type="dxa" w:w="15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0.75 to 0.84</w:t>
            </w:r>
          </w:p>
        </w:tc>
        <w:tc>
          <w:tcPr>
            <w:tcW w:type="dxa" w:w="16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0.45 to 0.79</w:t>
            </w:r>
          </w:p>
        </w:tc>
        <w:tc>
          <w:tcPr>
            <w:tcW w:type="dxa" w:w="163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0.01 to 0.09</w:t>
            </w:r>
          </w:p>
        </w:tc>
      </w:tr>
    </w:tbl>
    <w:p>
      <w:pPr>
        <w:pStyle w:val="Heading2"/>
        <w:keepNext/>
        <w:spacing w:after="120" w:before="260"/>
      </w:pPr>
      <w:r>
        <w:rPr>
          <w:rFonts w:ascii="Times New Roman" w:cs="Times New Roman" w:eastAsia="Times New Roman" w:hAnsi="Times New Roman"/>
          <w:b/>
          <w:bCs/>
          <w:color w:val="000000"/>
          <w:sz w:val="23"/>
          <w:szCs w:val="23"/>
        </w:rPr>
        <w:t xml:space="preserve">Synthetic benchmarks</w:t>
      </w:r>
    </w:p>
    <w:p>
      <w:pPr>
        <w:spacing w:after="140" w:line="276"/>
        <w:jc w:val="both"/>
      </w:pPr>
      <w:r>
        <w:rPr>
          <w:rFonts w:ascii="Times New Roman" w:cs="Times New Roman" w:eastAsia="Times New Roman" w:hAnsi="Times New Roman"/>
          <w:color w:val="000000"/>
          <w:sz w:val="22"/>
          <w:szCs w:val="22"/>
        </w:rPr>
        <w:t xml:space="preserve">Three parametric generator families produce wound images with exact masks, 45 images per benchmark in three severity classes. Generator A places a lesion on a uniform drape and reproduces the benchmark released with an earlier system description [53]. Generator B renders textured skin with clutter such as hair and gauze, and its background texture amplitude is a parameter; it was built at amplitudes 11, 28 and 40. Generator C shares no code with B and uses spectral noise, vignetting and a colour mixture model. Every benchmark was built at three seeds (2024, 7 and 101). Background texture is the median local standard deviation of shading-corrected luminance in a 9-pixel window over background pixels, measured at 512 pixels.</w:t>
      </w:r>
    </w:p>
    <w:p>
      <w:pPr>
        <w:pStyle w:val="Heading2"/>
        <w:keepNext/>
        <w:spacing w:after="120" w:before="260"/>
      </w:pPr>
      <w:r>
        <w:rPr>
          <w:rFonts w:ascii="Times New Roman" w:cs="Times New Roman" w:eastAsia="Times New Roman" w:hAnsi="Times New Roman"/>
          <w:b/>
          <w:bCs/>
          <w:color w:val="000000"/>
          <w:sz w:val="23"/>
          <w:szCs w:val="23"/>
        </w:rPr>
        <w:t xml:space="preserve">Agreement and statistics</w:t>
      </w:r>
    </w:p>
    <w:p>
      <w:pPr>
        <w:spacing w:after="100" w:line="276"/>
        <w:jc w:val="both"/>
      </w:pPr>
      <w:r>
        <w:rPr>
          <w:rFonts w:ascii="Times New Roman" w:cs="Times New Roman" w:eastAsia="Times New Roman" w:hAnsi="Times New Roman"/>
          <w:color w:val="000000"/>
          <w:sz w:val="22"/>
          <w:szCs w:val="22"/>
        </w:rPr>
        <w:t xml:space="preserve">Agreement between two image sets is the Spearman correlation between their vectors of per-method mean Dice over a given set of methods. Pairs of clinical datasets are assigned to four levels: within dataset (two disjoint slices of one dataset), within source (one clinic or group, no shared images), within modality (one modality, different sources) and across modality. Every analysis is repeated under normalised surface Dice (NSD) with a tolerance of 2 pixels [54], and with the images whose reference mask is empty excluded.</w:t>
      </w:r>
    </w:p>
    <w:p>
      <w:pPr>
        <w:spacing w:after="100" w:line="276"/>
        <w:jc w:val="both"/>
      </w:pPr>
      <w:r>
        <w:rPr>
          <w:rFonts w:ascii="Times New Roman" w:cs="Times New Roman" w:eastAsia="Times New Roman" w:hAnsi="Times New Roman"/>
          <w:color w:val="000000"/>
          <w:sz w:val="22"/>
          <w:szCs w:val="22"/>
        </w:rPr>
        <w:t xml:space="preserve">Pairs share datasets, so pair-level tests overstate the evidence. The difference between mean same-modality and mean across-modality agreement was therefore tested by assigning the modality labels to the 11 datasets in every distinct way (13,860 assignments, smallest attainable p 0.00014). Because singleton modalities contribute no same-modality pair, we also tested separately whether the four wound datasets (330 possible subsets) and the five colonoscopy datasets (462) agree more among themselves than with the rest.</w:t>
      </w:r>
    </w:p>
    <w:p>
      <w:pPr>
        <w:spacing w:after="140" w:line="276"/>
        <w:jc w:val="both"/>
      </w:pPr>
      <w:r>
        <w:rPr>
          <w:rFonts w:ascii="Times New Roman" w:cs="Times New Roman" w:eastAsia="Times New Roman" w:hAnsi="Times New Roman"/>
          <w:color w:val="000000"/>
          <w:sz w:val="22"/>
          <w:szCs w:val="22"/>
        </w:rPr>
        <w:t xml:space="preserve">Intervals are 95% percentile intervals from a bootstrap over methods, with methods resampled within each group so that a pooled set keeps its composition (2,000 draws; 1,000 for the level tables). Uncertainty from the images was assessed by split-half reliability: the Spearman correlation between method means on two random halves of a dataset, corrected with the Spearman-Brown formula. As a remedy for pooled sets we also computed stratified agreement, in which methods are ranked within their own group before pooling. The modality structure within groups and the effect of pooling are the confirmatory analyses; the synthetic-benchmark analyses are exploratory and reported with intervals rather than tests.</w:t>
      </w:r>
    </w:p>
    <w:p>
      <w:pPr>
        <w:pStyle w:val="Heading1"/>
        <w:keepNext/>
        <w:spacing w:after="160" w:before="360"/>
      </w:pPr>
      <w:r>
        <w:rPr>
          <w:rFonts w:ascii="Times New Roman" w:cs="Times New Roman" w:eastAsia="Times New Roman" w:hAnsi="Times New Roman"/>
          <w:b/>
          <w:bCs/>
          <w:color w:val="000000"/>
          <w:sz w:val="26"/>
          <w:szCs w:val="26"/>
        </w:rPr>
        <w:t xml:space="preserve">Results</w:t>
      </w:r>
    </w:p>
    <w:p>
      <w:pPr>
        <w:pStyle w:val="Heading2"/>
        <w:keepNext/>
        <w:spacing w:after="120" w:before="260"/>
      </w:pPr>
      <w:r>
        <w:rPr>
          <w:rFonts w:ascii="Times New Roman" w:cs="Times New Roman" w:eastAsia="Times New Roman" w:hAnsi="Times New Roman"/>
          <w:b/>
          <w:bCs/>
          <w:color w:val="000000"/>
          <w:sz w:val="23"/>
          <w:szCs w:val="23"/>
        </w:rPr>
        <w:t xml:space="preserve">The groups differ in quality and in domain</w:t>
      </w:r>
    </w:p>
    <w:p>
      <w:pPr>
        <w:spacing w:after="140" w:line="276"/>
        <w:jc w:val="both"/>
      </w:pPr>
      <w:r>
        <w:rPr>
          <w:rFonts w:ascii="Times New Roman" w:cs="Times New Roman" w:eastAsia="Times New Roman" w:hAnsi="Times New Roman"/>
          <w:color w:val="000000"/>
          <w:sz w:val="22"/>
          <w:szCs w:val="22"/>
        </w:rPr>
        <w:t xml:space="preserve">The modern models reach Dice 0.45 to 0.79 on the wound datasets but 0.01 to 0.09 on the other modalities, and the from-scratch group shows the same pattern at a lower level (Table 2). The Kvasir-trained group leads on colonoscopy without falling below the untrained group on wounds, and the untrained group is moderate everywhere, with its best result on PH2 (0.49). Each dataset ranks the methods reproducibly: split-half reliability over all methods is 0.96 to 0.99 for every dataset, and among the 11 modern models it is 0.87 to 0.97 for the four wound datasets.</w:t>
      </w:r>
    </w:p>
    <w:p>
      <w:pPr>
        <w:pStyle w:val="Heading2"/>
        <w:keepNext/>
        <w:spacing w:after="120" w:before="260"/>
      </w:pPr>
      <w:r>
        <w:rPr>
          <w:rFonts w:ascii="Times New Roman" w:cs="Times New Roman" w:eastAsia="Times New Roman" w:hAnsi="Times New Roman"/>
          <w:b/>
          <w:bCs/>
          <w:color w:val="000000"/>
          <w:sz w:val="23"/>
          <w:szCs w:val="23"/>
        </w:rPr>
        <w:t xml:space="preserve">Agreement is organised by modality within every group</w:t>
      </w:r>
    </w:p>
    <w:p>
      <w:pPr>
        <w:spacing w:after="140" w:line="276"/>
        <w:jc w:val="both"/>
      </w:pPr>
      <w:r>
        <w:rPr>
          <w:rFonts w:ascii="Times New Roman" w:cs="Times New Roman" w:eastAsia="Times New Roman" w:hAnsi="Times New Roman"/>
          <w:color w:val="000000"/>
          <w:sz w:val="22"/>
          <w:szCs w:val="22"/>
        </w:rPr>
        <w:t xml:space="preserve">Within each of the four groups, datasets of the same modality agree more than datasets of different modalities, by 0.46 to 0.60 under Dice and 0.42 to 0.69 under NSD, every difference with p at most 0.005 (Table 3). Excluding empty reference masks changes no conclusion (Dice difference 0.46 to 0.60, p at most 0.0062). The structure is carried mainly by colonoscopy: the five colonoscopy datasets cluster in every group (p 0.002 to 0.009), whereas the four wound datasets do not cluster detectably within any group (p 0.085 to 0.37). Colonoscopy datasets from three independent sources agree at 0.80 to 0.95 among all 32 locally scored methods.</w:t>
      </w:r>
    </w:p>
    <w:p>
      <w:pPr>
        <w:keepNext/>
        <w:spacing w:after="90" w:before="200" w:line="260"/>
      </w:pPr>
      <w:r>
        <w:rPr>
          <w:rFonts w:ascii="Times New Roman" w:cs="Times New Roman" w:eastAsia="Times New Roman" w:hAnsi="Times New Roman"/>
          <w:b/>
          <w:bCs/>
          <w:color w:val="000000"/>
          <w:sz w:val="19"/>
          <w:szCs w:val="19"/>
        </w:rPr>
        <w:t xml:space="preserve">Table 3. </w:t>
      </w:r>
      <w:r>
        <w:rPr>
          <w:rFonts w:ascii="Times New Roman" w:cs="Times New Roman" w:eastAsia="Times New Roman" w:hAnsi="Times New Roman"/>
          <w:color w:val="3F3F3F"/>
          <w:sz w:val="19"/>
          <w:szCs w:val="19"/>
        </w:rPr>
        <w:t xml:space="preserve">Mean Spearman agreement by level under Dice, the same-modality minus across-modality difference with its 95% bootstrap interval and exact p, and the corresponding NSD difference. Pooled rows are discussed in the next section.</w:t>
      </w:r>
    </w:p>
    <w:tbl>
      <w:tblPr>
        <w:tblW w:type="dxa" w:w="9360"/>
        <w:tblBorders>
          <w:top w:val="single" w:color="8C8C8C" w:sz="8"/>
          <w:left w:val="none"/>
          <w:bottom w:val="single" w:color="8C8C8C" w:sz="8"/>
          <w:right w:val="none"/>
          <w:insideH w:val="single" w:color="CFCFCF" w:sz="2"/>
          <w:insideV w:val="none"/>
        </w:tblBorders>
      </w:tblPr>
      <w:tblGrid>
        <w:gridCol w:w="2050"/>
        <w:gridCol w:w="400"/>
        <w:gridCol w:w="900"/>
        <w:gridCol w:w="900"/>
        <w:gridCol w:w="950"/>
        <w:gridCol w:w="950"/>
        <w:gridCol w:w="1500"/>
        <w:gridCol w:w="700"/>
        <w:gridCol w:w="1010"/>
      </w:tblGrid>
      <w:tr>
        <w:trPr>
          <w:tblHeader/>
        </w:trPr>
        <w:tc>
          <w:tcPr>
            <w:tcW w:type="dxa" w:w="205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6"/>
                <w:szCs w:val="16"/>
              </w:rPr>
              <w:t xml:space="preserve">Methods</w:t>
            </w:r>
          </w:p>
        </w:tc>
        <w:tc>
          <w:tcPr>
            <w:tcW w:type="dxa" w:w="4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n</w:t>
            </w:r>
          </w:p>
        </w:tc>
        <w:tc>
          <w:tcPr>
            <w:tcW w:type="dxa" w:w="9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Within dataset</w:t>
            </w:r>
          </w:p>
        </w:tc>
        <w:tc>
          <w:tcPr>
            <w:tcW w:type="dxa" w:w="9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Within source</w:t>
            </w:r>
          </w:p>
        </w:tc>
        <w:tc>
          <w:tcPr>
            <w:tcW w:type="dxa" w:w="9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Within modality</w:t>
            </w:r>
          </w:p>
        </w:tc>
        <w:tc>
          <w:tcPr>
            <w:tcW w:type="dxa" w:w="9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Across modality</w:t>
            </w:r>
          </w:p>
        </w:tc>
        <w:tc>
          <w:tcPr>
            <w:tcW w:type="dxa" w:w="15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Difference (95% interval)</w:t>
            </w:r>
          </w:p>
        </w:tc>
        <w:tc>
          <w:tcPr>
            <w:tcW w:type="dxa" w:w="7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p</w:t>
            </w:r>
          </w:p>
        </w:tc>
        <w:tc>
          <w:tcPr>
            <w:tcW w:type="dxa" w:w="101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6"/>
                <w:szCs w:val="16"/>
              </w:rPr>
              <w:t xml:space="preserve">NSD difference</w:t>
            </w:r>
          </w:p>
        </w:tc>
      </w:tr>
      <w:tr>
        <w:trPr>
          <w:cantSplit/>
        </w:trPr>
        <w:tc>
          <w:tcPr>
            <w:tcW w:type="dxa" w:w="20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Untrained</w:t>
            </w:r>
          </w:p>
        </w:tc>
        <w:tc>
          <w:tcPr>
            <w:tcW w:type="dxa" w:w="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18</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+0.96</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+0.69</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+0.67</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+0.08</w:t>
            </w:r>
          </w:p>
        </w:tc>
        <w:tc>
          <w:tcPr>
            <w:tcW w:type="dxa" w:w="15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0.60 (0.35, 0.82)</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0.00014</w:t>
            </w:r>
          </w:p>
        </w:tc>
        <w:tc>
          <w:tcPr>
            <w:tcW w:type="dxa" w:w="10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0.42</w:t>
            </w:r>
          </w:p>
        </w:tc>
      </w:tr>
      <w:tr>
        <w:trPr>
          <w:cantSplit/>
        </w:trPr>
        <w:tc>
          <w:tcPr>
            <w:tcW w:type="dxa" w:w="20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From scratch</w:t>
            </w:r>
          </w:p>
        </w:tc>
        <w:tc>
          <w:tcPr>
            <w:tcW w:type="dxa" w:w="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14</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+0.95</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+0.65</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+0.60</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+0.14</w:t>
            </w:r>
          </w:p>
        </w:tc>
        <w:tc>
          <w:tcPr>
            <w:tcW w:type="dxa" w:w="15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0.47 (0.23, 0.73)</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0.0045</w:t>
            </w:r>
          </w:p>
        </w:tc>
        <w:tc>
          <w:tcPr>
            <w:tcW w:type="dxa" w:w="10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0.56</w:t>
            </w:r>
          </w:p>
        </w:tc>
      </w:tr>
      <w:tr>
        <w:trPr>
          <w:cantSplit/>
        </w:trPr>
        <w:tc>
          <w:tcPr>
            <w:tcW w:type="dxa" w:w="20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Kvasir-trained</w:t>
            </w:r>
          </w:p>
        </w:tc>
        <w:tc>
          <w:tcPr>
            <w:tcW w:type="dxa" w:w="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14</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+0.85</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+0.54</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+0.68</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+0.16</w:t>
            </w:r>
          </w:p>
        </w:tc>
        <w:tc>
          <w:tcPr>
            <w:tcW w:type="dxa" w:w="15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0.50 (0.25, 0.73)</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0.00058</w:t>
            </w:r>
          </w:p>
        </w:tc>
        <w:tc>
          <w:tcPr>
            <w:tcW w:type="dxa" w:w="10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0.69</w:t>
            </w:r>
          </w:p>
        </w:tc>
      </w:tr>
      <w:tr>
        <w:trPr>
          <w:cantSplit/>
        </w:trPr>
        <w:tc>
          <w:tcPr>
            <w:tcW w:type="dxa" w:w="20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Modern</w:t>
            </w:r>
          </w:p>
        </w:tc>
        <w:tc>
          <w:tcPr>
            <w:tcW w:type="dxa" w:w="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11</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+0.69</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+0.58</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+0.48</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+0.04</w:t>
            </w:r>
          </w:p>
        </w:tc>
        <w:tc>
          <w:tcPr>
            <w:tcW w:type="dxa" w:w="15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0.46 (0.17, 0.76)</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0.00072</w:t>
            </w:r>
          </w:p>
        </w:tc>
        <w:tc>
          <w:tcPr>
            <w:tcW w:type="dxa" w:w="10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0.44</w:t>
            </w:r>
          </w:p>
        </w:tc>
      </w:tr>
      <w:tr>
        <w:trPr>
          <w:cantSplit/>
        </w:trPr>
        <w:tc>
          <w:tcPr>
            <w:tcW w:type="dxa" w:w="20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Untrained + from scratch</w:t>
            </w:r>
          </w:p>
        </w:tc>
        <w:tc>
          <w:tcPr>
            <w:tcW w:type="dxa" w:w="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32</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+0.89</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+0.86</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+0.74</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-0.07</w:t>
            </w:r>
          </w:p>
        </w:tc>
        <w:tc>
          <w:tcPr>
            <w:tcW w:type="dxa" w:w="15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0.84 (0.64, 0.99)</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0.00014</w:t>
            </w:r>
          </w:p>
        </w:tc>
        <w:tc>
          <w:tcPr>
            <w:tcW w:type="dxa" w:w="10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0.71</w:t>
            </w:r>
          </w:p>
        </w:tc>
      </w:tr>
      <w:tr>
        <w:trPr>
          <w:cantSplit/>
        </w:trPr>
        <w:tc>
          <w:tcPr>
            <w:tcW w:type="dxa" w:w="205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6"/>
                <w:szCs w:val="16"/>
              </w:rPr>
              <w:t xml:space="preserve">Untrained + Kvasir-trained</w:t>
            </w:r>
          </w:p>
        </w:tc>
        <w:tc>
          <w:tcPr>
            <w:tcW w:type="dxa" w:w="4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32</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+0.97</w:t>
            </w:r>
          </w:p>
        </w:tc>
        <w:tc>
          <w:tcPr>
            <w:tcW w:type="dxa" w:w="9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+0.58</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+0.70</w:t>
            </w:r>
          </w:p>
        </w:tc>
        <w:tc>
          <w:tcPr>
            <w:tcW w:type="dxa" w:w="9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+0.00</w:t>
            </w:r>
          </w:p>
        </w:tc>
        <w:tc>
          <w:tcPr>
            <w:tcW w:type="dxa" w:w="15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0.68 (0.59, 0.75)</w:t>
            </w:r>
          </w:p>
        </w:tc>
        <w:tc>
          <w:tcPr>
            <w:tcW w:type="dxa" w:w="7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0.00014</w:t>
            </w:r>
          </w:p>
        </w:tc>
        <w:tc>
          <w:tcPr>
            <w:tcW w:type="dxa" w:w="101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6"/>
                <w:szCs w:val="16"/>
              </w:rPr>
              <w:t xml:space="preserve">0.72</w:t>
            </w:r>
          </w:p>
        </w:tc>
      </w:tr>
      <w:tr>
        <w:trPr>
          <w:cantSplit/>
        </w:trPr>
        <w:tc>
          <w:tcPr>
            <w:tcW w:type="dxa" w:w="205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6"/>
                <w:szCs w:val="16"/>
              </w:rPr>
              <w:t xml:space="preserve">Untrained + modern</w:t>
            </w:r>
          </w:p>
        </w:tc>
        <w:tc>
          <w:tcPr>
            <w:tcW w:type="dxa" w:w="4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29</w:t>
            </w:r>
          </w:p>
        </w:tc>
        <w:tc>
          <w:tcPr>
            <w:tcW w:type="dxa" w:w="9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+0.97</w:t>
            </w:r>
          </w:p>
        </w:tc>
        <w:tc>
          <w:tcPr>
            <w:tcW w:type="dxa" w:w="9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+0.86</w:t>
            </w:r>
          </w:p>
        </w:tc>
        <w:tc>
          <w:tcPr>
            <w:tcW w:type="dxa" w:w="9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+0.84</w:t>
            </w:r>
          </w:p>
        </w:tc>
        <w:tc>
          <w:tcPr>
            <w:tcW w:type="dxa" w:w="9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-0.24</w:t>
            </w:r>
          </w:p>
        </w:tc>
        <w:tc>
          <w:tcPr>
            <w:tcW w:type="dxa" w:w="15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1.09 (0.95, 1.19)</w:t>
            </w:r>
          </w:p>
        </w:tc>
        <w:tc>
          <w:tcPr>
            <w:tcW w:type="dxa" w:w="7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0.00014</w:t>
            </w:r>
          </w:p>
        </w:tc>
        <w:tc>
          <w:tcPr>
            <w:tcW w:type="dxa" w:w="101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6"/>
                <w:szCs w:val="16"/>
              </w:rPr>
              <w:t xml:space="preserve">0.92</w:t>
            </w:r>
          </w:p>
        </w:tc>
      </w:tr>
    </w:tbl>
    <w:p>
      <w:pPr>
        <w:spacing w:after="140" w:line="276"/>
        <w:jc w:val="both"/>
      </w:pPr>
      <w:r>
        <w:rPr>
          <w:rFonts w:ascii="Times New Roman" w:cs="Times New Roman" w:eastAsia="Times New Roman" w:hAnsi="Times New Roman"/>
          <w:color w:val="000000"/>
          <w:sz w:val="22"/>
          <w:szCs w:val="22"/>
        </w:rPr>
        <w:t xml:space="preserve">Among the modern models the within-dataset control is only 0.69 (95% interval 0.05 to 0.95) on 103 control images, against split-half reliability of 0.87 and 0.86 for the two AZH sets themselves, so with 11 closely matched methods a single comparison of two datasets is imprecise.</w:t>
      </w:r>
    </w:p>
    <w:p>
      <w:pPr>
        <w:pStyle w:val="Heading2"/>
        <w:keepNext/>
        <w:spacing w:after="120" w:before="260"/>
      </w:pPr>
      <w:r>
        <w:rPr>
          <w:rFonts w:ascii="Times New Roman" w:cs="Times New Roman" w:eastAsia="Times New Roman" w:hAnsi="Times New Roman"/>
          <w:b/>
          <w:bCs/>
          <w:color w:val="000000"/>
          <w:sz w:val="23"/>
          <w:szCs w:val="23"/>
        </w:rPr>
        <w:t xml:space="preserve">Pooling creates agreement and disagreement</w:t>
      </w:r>
    </w:p>
    <w:p>
      <w:pPr>
        <w:spacing w:after="100" w:line="276"/>
        <w:jc w:val="both"/>
      </w:pPr>
      <w:r>
        <w:rPr>
          <w:rFonts w:ascii="Times New Roman" w:cs="Times New Roman" w:eastAsia="Times New Roman" w:hAnsi="Times New Roman"/>
          <w:color w:val="000000"/>
          <w:sz w:val="22"/>
          <w:szCs w:val="22"/>
        </w:rPr>
        <w:t xml:space="preserve">Pooling the untrained group with a trained group changes agreement in both directions (Figure 1). With the modern models, wound datasets agree at 0.80 (0.75 to 0.86) over the pooled 29 methods, against 0.37 (0.14 to 0.61) among untrained methods and 0.13 (-0.12 to 0.41) among modern models. Agreement between wound and other datasets becomes -0.50 (-0.62 to -0.35), against 0.09 and -0.01 within the groups, and non-wound datasets of different modalities appear to agree at 0.40 (0.17 to 0.61), against 0.04 and 0.17. The from-scratch group produces the same pattern at a smaller size. In each case the pooled value lies outside the range of both group values.</w:t>
      </w:r>
    </w:p>
    <w:p>
      <w:pPr>
        <w:spacing w:after="100" w:line="276"/>
        <w:jc w:val="both"/>
      </w:pPr>
      <w:r>
        <w:rPr>
          <w:rFonts w:ascii="Times New Roman" w:cs="Times New Roman" w:eastAsia="Times New Roman" w:hAnsi="Times New Roman"/>
          <w:color w:val="000000"/>
          <w:sz w:val="22"/>
          <w:szCs w:val="22"/>
        </w:rPr>
        <w:t xml:space="preserve">The mechanism is visible in the group means. The modern models lead the untrained methods on every wound dataset and fall below them on every other dataset, so a pooled correlation between a wound and a non-wound dataset is dominated by which group each method belongs to, without any pair of methods changing order within a group. The Kvasir-trained group is the mirror experiment. It leads on colonoscopy, but on wound photographs its means (0.08 to 0.29) are close to those of the untrained methods (0.06 to 0.30), so the groups do not change places. Pooling it with the untrained group still pulls agreement between colonoscopy and other datasets outside the range of both groups (0.02, against 0.13 and 0.20), but does not reverse its sign (Figure 1c).</w:t>
      </w:r>
    </w:p>
    <w:p>
      <w:pPr>
        <w:spacing w:after="140" w:line="276"/>
        <w:jc w:val="both"/>
      </w:pPr>
      <w:r>
        <w:rPr>
          <w:rFonts w:ascii="Times New Roman" w:cs="Times New Roman" w:eastAsia="Times New Roman" w:hAnsi="Times New Roman"/>
          <w:color w:val="000000"/>
          <w:sz w:val="22"/>
          <w:szCs w:val="22"/>
        </w:rPr>
        <w:t xml:space="preserve">Stratified agreement removes the effect. Ranking methods within their own group before pooling gives a same-modality minus across-modality difference of 0.54, 0.55 and 0.55 for the three pooled sets (p at most 0.0003), close to the within-group values, and agreement between wound and other datasets of 0.05 to 0.13.</w:t>
      </w:r>
    </w:p>
    <w:p>
      <w:pPr>
        <w:keepNext/>
        <w:spacing w:after="80" w:before="200"/>
        <w:jc w:val="center"/>
      </w:pPr>
      <w:r>
        <w:drawing>
          <wp:inline distT="0" distB="0" distL="0" distR="0">
            <wp:extent cx="62674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67450" cy="2305050"/>
                    </a:xfrm>
                    <a:prstGeom prst="rect">
                      <a:avLst/>
                    </a:prstGeom>
                  </pic:spPr>
                </pic:pic>
              </a:graphicData>
            </a:graphic>
          </wp:inline>
        </w:drawing>
      </w:r>
    </w:p>
    <w:p>
      <w:pPr>
        <w:keepNext w:val="false"/>
        <w:spacing w:after="240" w:before="0" w:line="260"/>
      </w:pPr>
      <w:r>
        <w:rPr>
          <w:rFonts w:ascii="Times New Roman" w:cs="Times New Roman" w:eastAsia="Times New Roman" w:hAnsi="Times New Roman"/>
          <w:b/>
          <w:bCs/>
          <w:color w:val="000000"/>
          <w:sz w:val="19"/>
          <w:szCs w:val="19"/>
        </w:rPr>
        <w:t xml:space="preserve">Figure 1. </w:t>
      </w:r>
      <w:r>
        <w:rPr>
          <w:rFonts w:ascii="Times New Roman" w:cs="Times New Roman" w:eastAsia="Times New Roman" w:hAnsi="Times New Roman"/>
          <w:color w:val="3F3F3F"/>
          <w:sz w:val="19"/>
          <w:szCs w:val="19"/>
        </w:rPr>
        <w:t xml:space="preserve">Mean agreement between pairs of clinical datasets by category, for each group alone and pooled, with 95% bootstrap intervals over methods (Dice). The domain is the modality the trained group was trained on. a: untrained and modern methods. b: untrained and from-scratch methods. c: untrained and Kvasir-trained methods.</w:t>
      </w:r>
    </w:p>
    <w:p>
      <w:pPr>
        <w:pStyle w:val="Heading2"/>
        <w:keepNext/>
        <w:spacing w:after="120" w:before="260"/>
      </w:pPr>
      <w:r>
        <w:rPr>
          <w:rFonts w:ascii="Times New Roman" w:cs="Times New Roman" w:eastAsia="Times New Roman" w:hAnsi="Times New Roman"/>
          <w:b/>
          <w:bCs/>
          <w:color w:val="000000"/>
          <w:sz w:val="23"/>
          <w:szCs w:val="23"/>
        </w:rPr>
        <w:t xml:space="preserve">Synthetic benchmark validity follows the method pool</w:t>
      </w:r>
    </w:p>
    <w:p>
      <w:pPr>
        <w:spacing w:after="100" w:line="276"/>
        <w:jc w:val="both"/>
      </w:pPr>
      <w:r>
        <w:rPr>
          <w:rFonts w:ascii="Times New Roman" w:cs="Times New Roman" w:eastAsia="Times New Roman" w:hAnsi="Times New Roman"/>
          <w:color w:val="000000"/>
          <w:sz w:val="22"/>
          <w:szCs w:val="22"/>
        </w:rPr>
        <w:t xml:space="preserve">Generator B at texture amplitude 40 agrees with the four wound datasets at 0.72 (0.53 to 0.85) over the pooled untrained and modern methods, a value that would usually be read as strong validation (Figure 2, Table 4). Among the modern models alone it agrees at 0.35 (-0.07 to 0.63), and the wound datasets agree with each other at only 0.13 (-0.12 to 0.41). Among untrained methods the benchmark agrees at 0.53 (0.20 to 0.74). For the from-scratch and Kvasir-trained groups the intervals include zero.</w:t>
      </w:r>
    </w:p>
    <w:p>
      <w:pPr>
        <w:spacing w:after="100" w:line="276"/>
        <w:jc w:val="both"/>
      </w:pPr>
      <w:r>
        <w:rPr>
          <w:rFonts w:ascii="Times New Roman" w:cs="Times New Roman" w:eastAsia="Times New Roman" w:hAnsi="Times New Roman"/>
          <w:color w:val="000000"/>
          <w:sz w:val="22"/>
          <w:szCs w:val="22"/>
        </w:rPr>
        <w:t xml:space="preserve">Within a group the figure also depends on the reference. Among untrained methods the benchmark agrees with CO2Wounds-V2 at 0.80 and with AZH at 0.31; among Kvasir-trained methods it agrees with AZH at 0.56 and with FUSeg at -0.34. Reported against a single dataset, the same benchmark and pool could be described as valid or invalid.</w:t>
      </w:r>
    </w:p>
    <w:p>
      <w:pPr>
        <w:spacing w:after="140" w:line="276"/>
        <w:jc w:val="both"/>
      </w:pPr>
      <w:r>
        <w:rPr>
          <w:rFonts w:ascii="Times New Roman" w:cs="Times New Roman" w:eastAsia="Times New Roman" w:hAnsi="Times New Roman"/>
          <w:color w:val="000000"/>
          <w:sz w:val="22"/>
          <w:szCs w:val="22"/>
        </w:rPr>
        <w:t xml:space="preserve">Background texture appeared earlier in this work to raise validity. Moving generator B from amplitude 11 to 40 raises mean agreement over the four wound datasets by 0.30 (0.10 to 0.55) in the pooled untrained and modern set and by 0.21 (0.08 to 0.36) in the pooled untrained and from-scratch set, but by -0.03 to 0.08 within each group, every interval including zero. The one within-group exception is CO2Wounds-V2 among untrained methods (0.32, 0.09 to 0.60).</w:t>
      </w:r>
    </w:p>
    <w:p>
      <w:pPr>
        <w:keepNext/>
        <w:spacing w:after="80" w:before="200"/>
        <w:jc w:val="center"/>
      </w:pPr>
      <w:r>
        <w:drawing>
          <wp:inline distT="0" distB="0" distL="0" distR="0">
            <wp:extent cx="5038725"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38725" cy="2590800"/>
                    </a:xfrm>
                    <a:prstGeom prst="rect">
                      <a:avLst/>
                    </a:prstGeom>
                  </pic:spPr>
                </pic:pic>
              </a:graphicData>
            </a:graphic>
          </wp:inline>
        </w:drawing>
      </w:r>
    </w:p>
    <w:p>
      <w:pPr>
        <w:keepNext w:val="false"/>
        <w:spacing w:after="240" w:before="0" w:line="260"/>
      </w:pPr>
      <w:r>
        <w:rPr>
          <w:rFonts w:ascii="Times New Roman" w:cs="Times New Roman" w:eastAsia="Times New Roman" w:hAnsi="Times New Roman"/>
          <w:b/>
          <w:bCs/>
          <w:color w:val="000000"/>
          <w:sz w:val="19"/>
          <w:szCs w:val="19"/>
        </w:rPr>
        <w:t xml:space="preserve">Figure 2. </w:t>
      </w:r>
      <w:r>
        <w:rPr>
          <w:rFonts w:ascii="Times New Roman" w:cs="Times New Roman" w:eastAsia="Times New Roman" w:hAnsi="Times New Roman"/>
          <w:color w:val="3F3F3F"/>
          <w:sz w:val="19"/>
          <w:szCs w:val="19"/>
        </w:rPr>
        <w:t xml:space="preserve">Agreement of generator B (texture amplitude 40, mean over three seeds) with the four clinical wound datasets, and agreement of those datasets with each other, for each group and pooled set, with 95% bootstrap intervals over methods (Dice).</w:t>
      </w:r>
    </w:p>
    <w:p>
      <w:pPr>
        <w:keepNext/>
        <w:spacing w:after="90" w:before="200" w:line="260"/>
      </w:pPr>
      <w:r>
        <w:rPr>
          <w:rFonts w:ascii="Times New Roman" w:cs="Times New Roman" w:eastAsia="Times New Roman" w:hAnsi="Times New Roman"/>
          <w:b/>
          <w:bCs/>
          <w:color w:val="000000"/>
          <w:sz w:val="19"/>
          <w:szCs w:val="19"/>
        </w:rPr>
        <w:t xml:space="preserve">Table 4. </w:t>
      </w:r>
      <w:r>
        <w:rPr>
          <w:rFonts w:ascii="Times New Roman" w:cs="Times New Roman" w:eastAsia="Times New Roman" w:hAnsi="Times New Roman"/>
          <w:color w:val="3F3F3F"/>
          <w:sz w:val="19"/>
          <w:szCs w:val="19"/>
        </w:rPr>
        <w:t xml:space="preserve">Agreement of generator B (amplitude 40, three seeds) with each wound dataset, by method set (Dice).</w:t>
      </w:r>
    </w:p>
    <w:tbl>
      <w:tblPr>
        <w:tblW w:type="dxa" w:w="9360"/>
        <w:tblBorders>
          <w:top w:val="single" w:color="8C8C8C" w:sz="8"/>
          <w:left w:val="none"/>
          <w:bottom w:val="single" w:color="8C8C8C" w:sz="8"/>
          <w:right w:val="none"/>
          <w:insideH w:val="single" w:color="CFCFCF" w:sz="2"/>
          <w:insideV w:val="none"/>
        </w:tblBorders>
      </w:tblPr>
      <w:tblGrid>
        <w:gridCol w:w="2700"/>
        <w:gridCol w:w="1050"/>
        <w:gridCol w:w="1350"/>
        <w:gridCol w:w="1000"/>
        <w:gridCol w:w="1000"/>
        <w:gridCol w:w="2260"/>
      </w:tblGrid>
      <w:tr>
        <w:trPr>
          <w:tblHeader/>
        </w:trPr>
        <w:tc>
          <w:tcPr>
            <w:tcW w:type="dxa" w:w="2700"/>
            <w:shd w:fill="E6E6E6" w:color="auto" w:val="clear"/>
            <w:tcMar>
              <w:top w:type="dxa" w:w="60"/>
              <w:left w:type="dxa" w:w="90"/>
              <w:bottom w:type="dxa" w:w="60"/>
              <w:right w:type="dxa" w:w="90"/>
            </w:tcMar>
          </w:tcPr>
          <w:p>
            <w:pPr>
              <w:keepNext/>
              <w:spacing w:after="0" w:line="240"/>
              <w:jc w:val="left"/>
            </w:pPr>
            <w:r>
              <w:rPr>
                <w:rFonts w:ascii="Times New Roman" w:cs="Times New Roman" w:eastAsia="Times New Roman" w:hAnsi="Times New Roman"/>
                <w:b/>
                <w:bCs/>
                <w:color w:val="000000"/>
                <w:sz w:val="18"/>
                <w:szCs w:val="18"/>
              </w:rPr>
              <w:t xml:space="preserve">Methods</w:t>
            </w:r>
          </w:p>
        </w:tc>
        <w:tc>
          <w:tcPr>
            <w:tcW w:type="dxa" w:w="10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Medetec</w:t>
            </w:r>
          </w:p>
        </w:tc>
        <w:tc>
          <w:tcPr>
            <w:tcW w:type="dxa" w:w="135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CO2Wounds-V2</w:t>
            </w:r>
          </w:p>
        </w:tc>
        <w:tc>
          <w:tcPr>
            <w:tcW w:type="dxa" w:w="10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FUSeg</w:t>
            </w:r>
          </w:p>
        </w:tc>
        <w:tc>
          <w:tcPr>
            <w:tcW w:type="dxa" w:w="100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AZH</w:t>
            </w:r>
          </w:p>
        </w:tc>
        <w:tc>
          <w:tcPr>
            <w:tcW w:type="dxa" w:w="2260"/>
            <w:shd w:fill="E6E6E6" w:color="auto" w:val="clear"/>
            <w:tcMar>
              <w:top w:type="dxa" w:w="60"/>
              <w:left w:type="dxa" w:w="90"/>
              <w:bottom w:type="dxa" w:w="60"/>
              <w:right w:type="dxa" w:w="90"/>
            </w:tcMar>
          </w:tcPr>
          <w:p>
            <w:pPr>
              <w:keepNext/>
              <w:spacing w:after="0" w:line="240"/>
              <w:jc w:val="right"/>
            </w:pPr>
            <w:r>
              <w:rPr>
                <w:rFonts w:ascii="Times New Roman" w:cs="Times New Roman" w:eastAsia="Times New Roman" w:hAnsi="Times New Roman"/>
                <w:b/>
                <w:bCs/>
                <w:color w:val="000000"/>
                <w:sz w:val="18"/>
                <w:szCs w:val="18"/>
              </w:rPr>
              <w:t xml:space="preserve">Mean (95% interval)</w:t>
            </w:r>
          </w:p>
        </w:tc>
      </w:tr>
      <w:tr>
        <w:trPr>
          <w:cantSplit/>
        </w:trPr>
        <w:tc>
          <w:tcPr>
            <w:tcW w:type="dxa" w:w="27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Untrained</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+0.59</w:t>
            </w:r>
          </w:p>
        </w:tc>
        <w:tc>
          <w:tcPr>
            <w:tcW w:type="dxa" w:w="13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+0.80</w:t>
            </w:r>
          </w:p>
        </w:tc>
        <w:tc>
          <w:tcPr>
            <w:tcW w:type="dxa" w:w="1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+0.39</w:t>
            </w:r>
          </w:p>
        </w:tc>
        <w:tc>
          <w:tcPr>
            <w:tcW w:type="dxa" w:w="1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+0.31</w:t>
            </w:r>
          </w:p>
        </w:tc>
        <w:tc>
          <w:tcPr>
            <w:tcW w:type="dxa" w:w="22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0.53 (0.20, 0.74)</w:t>
            </w:r>
          </w:p>
        </w:tc>
      </w:tr>
      <w:tr>
        <w:trPr>
          <w:cantSplit/>
        </w:trPr>
        <w:tc>
          <w:tcPr>
            <w:tcW w:type="dxa" w:w="27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From scratch</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+0.05</w:t>
            </w:r>
          </w:p>
        </w:tc>
        <w:tc>
          <w:tcPr>
            <w:tcW w:type="dxa" w:w="13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+0.47</w:t>
            </w:r>
          </w:p>
        </w:tc>
        <w:tc>
          <w:tcPr>
            <w:tcW w:type="dxa" w:w="1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+0.10</w:t>
            </w:r>
          </w:p>
        </w:tc>
        <w:tc>
          <w:tcPr>
            <w:tcW w:type="dxa" w:w="1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+0.28</w:t>
            </w:r>
          </w:p>
        </w:tc>
        <w:tc>
          <w:tcPr>
            <w:tcW w:type="dxa" w:w="22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0.22 (-0.04, 0.45)</w:t>
            </w:r>
          </w:p>
        </w:tc>
      </w:tr>
      <w:tr>
        <w:trPr>
          <w:cantSplit/>
        </w:trPr>
        <w:tc>
          <w:tcPr>
            <w:tcW w:type="dxa" w:w="27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Kvasir-trained</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+0.16</w:t>
            </w:r>
          </w:p>
        </w:tc>
        <w:tc>
          <w:tcPr>
            <w:tcW w:type="dxa" w:w="13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+0.06</w:t>
            </w:r>
          </w:p>
        </w:tc>
        <w:tc>
          <w:tcPr>
            <w:tcW w:type="dxa" w:w="1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-0.34</w:t>
            </w:r>
          </w:p>
        </w:tc>
        <w:tc>
          <w:tcPr>
            <w:tcW w:type="dxa" w:w="1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+0.56</w:t>
            </w:r>
          </w:p>
        </w:tc>
        <w:tc>
          <w:tcPr>
            <w:tcW w:type="dxa" w:w="22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0.11 (-0.35, 0.54)</w:t>
            </w:r>
          </w:p>
        </w:tc>
      </w:tr>
      <w:tr>
        <w:trPr>
          <w:cantSplit/>
        </w:trPr>
        <w:tc>
          <w:tcPr>
            <w:tcW w:type="dxa" w:w="27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Modern</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+0.30</w:t>
            </w:r>
          </w:p>
        </w:tc>
        <w:tc>
          <w:tcPr>
            <w:tcW w:type="dxa" w:w="13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+0.45</w:t>
            </w:r>
          </w:p>
        </w:tc>
        <w:tc>
          <w:tcPr>
            <w:tcW w:type="dxa" w:w="1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+0.28</w:t>
            </w:r>
          </w:p>
        </w:tc>
        <w:tc>
          <w:tcPr>
            <w:tcW w:type="dxa" w:w="1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+0.39</w:t>
            </w:r>
          </w:p>
        </w:tc>
        <w:tc>
          <w:tcPr>
            <w:tcW w:type="dxa" w:w="22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0.35 (-0.07, 0.63)</w:t>
            </w:r>
          </w:p>
        </w:tc>
      </w:tr>
      <w:tr>
        <w:trPr>
          <w:cantSplit/>
        </w:trPr>
        <w:tc>
          <w:tcPr>
            <w:tcW w:type="dxa" w:w="27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Untrained + from scratch</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+0.34</w:t>
            </w:r>
          </w:p>
        </w:tc>
        <w:tc>
          <w:tcPr>
            <w:tcW w:type="dxa" w:w="13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+0.63</w:t>
            </w:r>
          </w:p>
        </w:tc>
        <w:tc>
          <w:tcPr>
            <w:tcW w:type="dxa" w:w="1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+0.21</w:t>
            </w:r>
          </w:p>
        </w:tc>
        <w:tc>
          <w:tcPr>
            <w:tcW w:type="dxa" w:w="1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+0.20</w:t>
            </w:r>
          </w:p>
        </w:tc>
        <w:tc>
          <w:tcPr>
            <w:tcW w:type="dxa" w:w="22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0.34 (0.07, 0.57)</w:t>
            </w:r>
          </w:p>
        </w:tc>
      </w:tr>
      <w:tr>
        <w:trPr>
          <w:cantSplit/>
        </w:trPr>
        <w:tc>
          <w:tcPr>
            <w:tcW w:type="dxa" w:w="2700"/>
            <w:tcMar>
              <w:top w:type="dxa" w:w="60"/>
              <w:left w:type="dxa" w:w="90"/>
              <w:bottom w:type="dxa" w:w="60"/>
              <w:right w:type="dxa" w:w="90"/>
            </w:tcMar>
          </w:tcPr>
          <w:p>
            <w:pPr>
              <w:keepNext/>
              <w:spacing w:after="0" w:line="240"/>
              <w:jc w:val="left"/>
            </w:pPr>
            <w:r>
              <w:rPr>
                <w:rFonts w:ascii="Times New Roman" w:cs="Times New Roman" w:eastAsia="Times New Roman" w:hAnsi="Times New Roman"/>
                <w:b w:val="false"/>
                <w:bCs w:val="false"/>
                <w:color w:val="000000"/>
                <w:sz w:val="18"/>
                <w:szCs w:val="18"/>
              </w:rPr>
              <w:t xml:space="preserve">Untrained + Kvasir-trained</w:t>
            </w:r>
          </w:p>
        </w:tc>
        <w:tc>
          <w:tcPr>
            <w:tcW w:type="dxa" w:w="10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+0.44</w:t>
            </w:r>
          </w:p>
        </w:tc>
        <w:tc>
          <w:tcPr>
            <w:tcW w:type="dxa" w:w="135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+0.16</w:t>
            </w:r>
          </w:p>
        </w:tc>
        <w:tc>
          <w:tcPr>
            <w:tcW w:type="dxa" w:w="1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-0.03</w:t>
            </w:r>
          </w:p>
        </w:tc>
        <w:tc>
          <w:tcPr>
            <w:tcW w:type="dxa" w:w="100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+0.70</w:t>
            </w:r>
          </w:p>
        </w:tc>
        <w:tc>
          <w:tcPr>
            <w:tcW w:type="dxa" w:w="2260"/>
            <w:tcMar>
              <w:top w:type="dxa" w:w="60"/>
              <w:left w:type="dxa" w:w="90"/>
              <w:bottom w:type="dxa" w:w="60"/>
              <w:right w:type="dxa" w:w="90"/>
            </w:tcMar>
          </w:tcPr>
          <w:p>
            <w:pPr>
              <w:keepNext/>
              <w:spacing w:after="0" w:line="240"/>
              <w:jc w:val="right"/>
            </w:pPr>
            <w:r>
              <w:rPr>
                <w:rFonts w:ascii="Times New Roman" w:cs="Times New Roman" w:eastAsia="Times New Roman" w:hAnsi="Times New Roman"/>
                <w:b w:val="false"/>
                <w:bCs w:val="false"/>
                <w:color w:val="000000"/>
                <w:sz w:val="18"/>
                <w:szCs w:val="18"/>
              </w:rPr>
              <w:t xml:space="preserve">0.32 (0.06, 0.54)</w:t>
            </w:r>
          </w:p>
        </w:tc>
      </w:tr>
      <w:tr>
        <w:trPr>
          <w:cantSplit/>
        </w:trPr>
        <w:tc>
          <w:tcPr>
            <w:tcW w:type="dxa" w:w="2700"/>
            <w:tcMar>
              <w:top w:type="dxa" w:w="60"/>
              <w:left w:type="dxa" w:w="90"/>
              <w:bottom w:type="dxa" w:w="60"/>
              <w:right w:type="dxa" w:w="90"/>
            </w:tcMar>
          </w:tcPr>
          <w:p>
            <w:pPr>
              <w:keepNext w:val="false"/>
              <w:spacing w:after="0" w:line="240"/>
              <w:jc w:val="left"/>
            </w:pPr>
            <w:r>
              <w:rPr>
                <w:rFonts w:ascii="Times New Roman" w:cs="Times New Roman" w:eastAsia="Times New Roman" w:hAnsi="Times New Roman"/>
                <w:b w:val="false"/>
                <w:bCs w:val="false"/>
                <w:color w:val="000000"/>
                <w:sz w:val="18"/>
                <w:szCs w:val="18"/>
              </w:rPr>
              <w:t xml:space="preserve">Untrained + modern</w:t>
            </w:r>
          </w:p>
        </w:tc>
        <w:tc>
          <w:tcPr>
            <w:tcW w:type="dxa" w:w="10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+0.75</w:t>
            </w:r>
          </w:p>
        </w:tc>
        <w:tc>
          <w:tcPr>
            <w:tcW w:type="dxa" w:w="135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+0.81</w:t>
            </w:r>
          </w:p>
        </w:tc>
        <w:tc>
          <w:tcPr>
            <w:tcW w:type="dxa" w:w="10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+0.66</w:t>
            </w:r>
          </w:p>
        </w:tc>
        <w:tc>
          <w:tcPr>
            <w:tcW w:type="dxa" w:w="100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+0.66</w:t>
            </w:r>
          </w:p>
        </w:tc>
        <w:tc>
          <w:tcPr>
            <w:tcW w:type="dxa" w:w="2260"/>
            <w:tcMar>
              <w:top w:type="dxa" w:w="60"/>
              <w:left w:type="dxa" w:w="90"/>
              <w:bottom w:type="dxa" w:w="60"/>
              <w:right w:type="dxa" w:w="90"/>
            </w:tcMar>
          </w:tcPr>
          <w:p>
            <w:pPr>
              <w:keepNext w:val="false"/>
              <w:spacing w:after="0" w:line="240"/>
              <w:jc w:val="right"/>
            </w:pPr>
            <w:r>
              <w:rPr>
                <w:rFonts w:ascii="Times New Roman" w:cs="Times New Roman" w:eastAsia="Times New Roman" w:hAnsi="Times New Roman"/>
                <w:b w:val="false"/>
                <w:bCs w:val="false"/>
                <w:color w:val="000000"/>
                <w:sz w:val="18"/>
                <w:szCs w:val="18"/>
              </w:rPr>
              <w:t xml:space="preserve">0.72 (0.53, 0.85)</w:t>
            </w:r>
          </w:p>
        </w:tc>
      </w:tr>
    </w:tbl>
    <w:p>
      <w:pPr>
        <w:pStyle w:val="Heading2"/>
        <w:keepNext/>
        <w:spacing w:after="120" w:before="260"/>
      </w:pPr>
      <w:r>
        <w:rPr>
          <w:rFonts w:ascii="Times New Roman" w:cs="Times New Roman" w:eastAsia="Times New Roman" w:hAnsi="Times New Roman"/>
          <w:b/>
          <w:bCs/>
          <w:color w:val="000000"/>
          <w:sz w:val="23"/>
          <w:szCs w:val="23"/>
        </w:rPr>
        <w:t xml:space="preserve">Comparisons between generator families depend on the pool</w:t>
      </w:r>
    </w:p>
    <w:p>
      <w:pPr>
        <w:spacing w:after="140" w:line="276"/>
        <w:jc w:val="both"/>
      </w:pPr>
      <w:r>
        <w:rPr>
          <w:rFonts w:ascii="Times New Roman" w:cs="Times New Roman" w:eastAsia="Times New Roman" w:hAnsi="Times New Roman"/>
          <w:color w:val="000000"/>
          <w:sz w:val="22"/>
          <w:szCs w:val="22"/>
        </w:rPr>
        <w:t xml:space="preserve">Four benchmarks from the three families were compared at each seed: generator A, generator B with texture removed, and generator C without and with noise (amplitude 3.4). B without texture and C with noise had nearly the same texture statistic at seed 2024 (3.23 and 3.20) but not at seeds 7 and 101 (2.98 and 3.33, 3.06 and 3.28), so the statistic varies by seed as much as between generators. Among untrained methods, B without texture agreed with Medetec and AZH more than C with noise at every seed (by 0.18, 0.22 and 0.24), but with Medetec and CO2Wounds-V2 only by 0.01 to 0.08. Among modern models the order reversed: C with noise agreed with Medetec and AZH more than B, by 0.13 to 0.16 at every seed. Which generator family looks better therefore depends on the methods and the references used to judge it (Online Resource 1), consistent with reports that a single image statistic does not determine the usefulness of synthetic data [13, 55].</w:t>
      </w:r>
    </w:p>
    <w:p>
      <w:pPr>
        <w:pStyle w:val="Heading1"/>
        <w:keepNext/>
        <w:spacing w:after="160" w:before="360"/>
      </w:pPr>
      <w:r>
        <w:rPr>
          <w:rFonts w:ascii="Times New Roman" w:cs="Times New Roman" w:eastAsia="Times New Roman" w:hAnsi="Times New Roman"/>
          <w:b/>
          <w:bCs/>
          <w:color w:val="000000"/>
          <w:sz w:val="26"/>
          <w:szCs w:val="26"/>
        </w:rPr>
        <w:t xml:space="preserve">Discussion</w:t>
      </w:r>
    </w:p>
    <w:p>
      <w:pPr>
        <w:pStyle w:val="Heading2"/>
        <w:keepNext/>
        <w:spacing w:after="120" w:before="260"/>
      </w:pPr>
      <w:r>
        <w:rPr>
          <w:rFonts w:ascii="Times New Roman" w:cs="Times New Roman" w:eastAsia="Times New Roman" w:hAnsi="Times New Roman"/>
          <w:b/>
          <w:bCs/>
          <w:color w:val="000000"/>
          <w:sz w:val="23"/>
          <w:szCs w:val="23"/>
        </w:rPr>
        <w:t xml:space="preserve">What a validity figure measures</w:t>
      </w:r>
    </w:p>
    <w:p>
      <w:pPr>
        <w:spacing w:after="140" w:line="276"/>
        <w:jc w:val="both"/>
      </w:pPr>
      <w:r>
        <w:rPr>
          <w:rFonts w:ascii="Times New Roman" w:cs="Times New Roman" w:eastAsia="Times New Roman" w:hAnsi="Times New Roman"/>
          <w:color w:val="000000"/>
          <w:sz w:val="22"/>
          <w:szCs w:val="22"/>
        </w:rPr>
        <w:t xml:space="preserve">A rank correlation between a synthetic benchmark and clinical data is usually read as a property of the benchmark. In our data the same benchmark scores 0.72 or 0.35 depending on whether classical methods are included in the pool, and 0.80 or 0.31 depending on which wound dataset is the reference. The high value comes from the gap between groups of methods. A benchmark on which modern models beat classical ones, as they do on every wound dataset, will correlate with any of those datasets over a pooled set, whether or not it can order the modern models among themselves.</w:t>
      </w:r>
    </w:p>
    <w:p>
      <w:pPr>
        <w:spacing w:after="140" w:line="276"/>
        <w:jc w:val="both"/>
      </w:pPr>
      <w:r>
        <w:rPr>
          <w:rFonts w:ascii="Times New Roman" w:cs="Times New Roman" w:eastAsia="Times New Roman" w:hAnsi="Times New Roman"/>
          <w:color w:val="000000"/>
          <w:sz w:val="22"/>
          <w:szCs w:val="22"/>
        </w:rPr>
        <w:t xml:space="preserve">That second question is the one a vendor, a hospital or a regulator usually faces. Among the 11 modern models, each wound dataset produces a reproducible ranking, yet the four datasets agree with each other at 0.13 on average. If clinical wound datasets do not agree on how modern models rank, a synthetic benchmark cannot be validated against them for that purpose, and a high pooled correlation should not be taken as evidence that it can.</w:t>
      </w:r>
    </w:p>
    <w:p>
      <w:pPr>
        <w:pStyle w:val="Heading2"/>
        <w:keepNext/>
        <w:spacing w:after="120" w:before="260"/>
      </w:pPr>
      <w:r>
        <w:rPr>
          <w:rFonts w:ascii="Times New Roman" w:cs="Times New Roman" w:eastAsia="Times New Roman" w:hAnsi="Times New Roman"/>
          <w:b/>
          <w:bCs/>
          <w:color w:val="000000"/>
          <w:sz w:val="23"/>
          <w:szCs w:val="23"/>
        </w:rPr>
        <w:t xml:space="preserve">Relation to prior work</w:t>
      </w:r>
    </w:p>
    <w:p>
      <w:pPr>
        <w:spacing w:after="140" w:line="276"/>
        <w:jc w:val="both"/>
      </w:pPr>
      <w:r>
        <w:rPr>
          <w:rFonts w:ascii="Times New Roman" w:cs="Times New Roman" w:eastAsia="Times New Roman" w:hAnsi="Times New Roman"/>
          <w:color w:val="000000"/>
          <w:sz w:val="22"/>
          <w:szCs w:val="22"/>
        </w:rPr>
        <w:t xml:space="preserve">The composition effect is Simpson's paradox [23, 24], and its role in benchmark agreement is established for language models [18, 19] and for robustness of image classifiers, where models trained on different data lie on different lines relating in-distribution and out-of-distribution accuracy [20-22]. Our contribution is to measure its size in medical segmentation, to show that it inflates agreement within one modality as well as creating disagreement across modalities, and to show its consequence for validating synthetic benchmarks. The task dependence of synthetic-to-real transfer reported for CT [17] and the strong transfer reported for programmable lesion trials [3] are consistent with our finding that validity is not a fixed property of a synthetic set. Reporting intervals over methods follows recommendations to quantify uncertainty in medical imaging evaluation [56, 57]. Finally, the advice to maximise variation in synthetic data comes from training, where domain randomisation helps models transfer to real images [58-60]. A benchmark has a different job: it should order methods as the deployment data would, which argues for matching the deployment distribution rather than exceeding it.</w:t>
      </w:r>
    </w:p>
    <w:p>
      <w:pPr>
        <w:pStyle w:val="Heading2"/>
        <w:keepNext/>
        <w:spacing w:after="120" w:before="260"/>
      </w:pPr>
      <w:r>
        <w:rPr>
          <w:rFonts w:ascii="Times New Roman" w:cs="Times New Roman" w:eastAsia="Times New Roman" w:hAnsi="Times New Roman"/>
          <w:b/>
          <w:bCs/>
          <w:color w:val="000000"/>
          <w:sz w:val="23"/>
          <w:szCs w:val="23"/>
        </w:rPr>
        <w:t xml:space="preserve">Why wound photography differs</w:t>
      </w:r>
    </w:p>
    <w:p>
      <w:pPr>
        <w:spacing w:after="140" w:line="276"/>
        <w:jc w:val="both"/>
      </w:pPr>
      <w:r>
        <w:rPr>
          <w:rFonts w:ascii="Times New Roman" w:cs="Times New Roman" w:eastAsia="Times New Roman" w:hAnsi="Times New Roman"/>
          <w:color w:val="000000"/>
          <w:sz w:val="22"/>
          <w:szCs w:val="22"/>
        </w:rPr>
        <w:t xml:space="preserve">Colonoscopy datasets from three centres agree almost as well as two slices of one dataset, while wound datasets do not cluster within any group. Colonoscopy frames share an acquisition device class and field of view. Wound photographs have no standard framing: the four wound datasets span a fourteen-fold range of median lesion fraction (0.007 to 0.098), two are different crops of one clinic's photographs and one was taken on smartphones in a leprosy programme. Dice depends on lesion size [61], and under NSD mean agreement between wound datasets among untrained methods rises from 0.37 to 0.62, which is consistent with framing conventions contributing to the disagreement [62, 63].</w:t>
      </w:r>
    </w:p>
    <w:p>
      <w:pPr>
        <w:pStyle w:val="Heading2"/>
        <w:keepNext/>
        <w:spacing w:after="120" w:before="260"/>
      </w:pPr>
      <w:r>
        <w:rPr>
          <w:rFonts w:ascii="Times New Roman" w:cs="Times New Roman" w:eastAsia="Times New Roman" w:hAnsi="Times New Roman"/>
          <w:b/>
          <w:bCs/>
          <w:color w:val="000000"/>
          <w:sz w:val="23"/>
          <w:szCs w:val="23"/>
        </w:rPr>
        <w:t xml:space="preserve">Recommendations</w:t>
      </w:r>
    </w:p>
    <w:p>
      <w:pPr>
        <w:spacing w:after="80" w:line="276"/>
        <w:ind w:left="240"/>
        <w:jc w:val="both"/>
      </w:pPr>
      <w:r>
        <w:rPr>
          <w:rFonts w:ascii="Times New Roman" w:cs="Times New Roman" w:eastAsia="Times New Roman" w:hAnsi="Times New Roman"/>
          <w:color w:val="000000"/>
          <w:sz w:val="22"/>
          <w:szCs w:val="22"/>
        </w:rPr>
        <w:t xml:space="preserve">1. Report a benchmark's agreement within the group of methods it is meant to compare, and name that group.</w:t>
      </w:r>
    </w:p>
    <w:p>
      <w:pPr>
        <w:spacing w:after="80" w:line="276"/>
        <w:ind w:left="240"/>
        <w:jc w:val="both"/>
      </w:pPr>
      <w:r>
        <w:rPr>
          <w:rFonts w:ascii="Times New Roman" w:cs="Times New Roman" w:eastAsia="Times New Roman" w:hAnsi="Times New Roman"/>
          <w:color w:val="000000"/>
          <w:sz w:val="22"/>
          <w:szCs w:val="22"/>
        </w:rPr>
        <w:t xml:space="preserve">2. Report agreement against several clinical datasets, as a matrix, together with a within-dataset control.</w:t>
      </w:r>
    </w:p>
    <w:p>
      <w:pPr>
        <w:spacing w:after="80" w:line="276"/>
        <w:ind w:left="240"/>
        <w:jc w:val="both"/>
      </w:pPr>
      <w:r>
        <w:rPr>
          <w:rFonts w:ascii="Times New Roman" w:cs="Times New Roman" w:eastAsia="Times New Roman" w:hAnsi="Times New Roman"/>
          <w:color w:val="000000"/>
          <w:sz w:val="22"/>
          <w:szCs w:val="22"/>
        </w:rPr>
        <w:t xml:space="preserve">3. Report intervals from resampling methods, which here are wider than the uncertainty from images.</w:t>
      </w:r>
    </w:p>
    <w:p>
      <w:pPr>
        <w:spacing w:after="80" w:line="276"/>
        <w:ind w:left="240"/>
        <w:jc w:val="both"/>
      </w:pPr>
      <w:r>
        <w:rPr>
          <w:rFonts w:ascii="Times New Roman" w:cs="Times New Roman" w:eastAsia="Times New Roman" w:hAnsi="Times New Roman"/>
          <w:color w:val="000000"/>
          <w:sz w:val="22"/>
          <w:szCs w:val="22"/>
        </w:rPr>
        <w:t xml:space="preserve">4. If a mixed pool cannot be avoided, report stratified agreement, ranking methods within their own group before pooling.</w:t>
      </w:r>
    </w:p>
    <w:p>
      <w:pPr>
        <w:pStyle w:val="Heading2"/>
        <w:keepNext/>
        <w:spacing w:after="120" w:before="260"/>
      </w:pPr>
      <w:r>
        <w:rPr>
          <w:rFonts w:ascii="Times New Roman" w:cs="Times New Roman" w:eastAsia="Times New Roman" w:hAnsi="Times New Roman"/>
          <w:b/>
          <w:bCs/>
          <w:color w:val="000000"/>
          <w:sz w:val="23"/>
          <w:szCs w:val="23"/>
        </w:rPr>
        <w:t xml:space="preserve">Limitations</w:t>
      </w:r>
    </w:p>
    <w:p>
      <w:pPr>
        <w:spacing w:after="80" w:line="276"/>
        <w:ind w:left="240"/>
        <w:jc w:val="both"/>
      </w:pPr>
      <w:r>
        <w:rPr>
          <w:rFonts w:ascii="Times New Roman" w:cs="Times New Roman" w:eastAsia="Times New Roman" w:hAnsi="Times New Roman"/>
          <w:color w:val="000000"/>
          <w:sz w:val="22"/>
          <w:szCs w:val="22"/>
        </w:rPr>
        <w:t xml:space="preserve">Wound photography is represented by four datasets from three sources, two of which share one clinic. Statements about wound datasets rest on five pairs from different sources.</w:t>
      </w:r>
    </w:p>
    <w:p>
      <w:pPr>
        <w:spacing w:after="80" w:line="276"/>
        <w:ind w:left="240"/>
        <w:jc w:val="both"/>
      </w:pPr>
      <w:r>
        <w:rPr>
          <w:rFonts w:ascii="Times New Roman" w:cs="Times New Roman" w:eastAsia="Times New Roman" w:hAnsi="Times New Roman"/>
          <w:color w:val="000000"/>
          <w:sz w:val="22"/>
          <w:szCs w:val="22"/>
        </w:rPr>
        <w:t xml:space="preserve">The synthetic benchmarks are parametric, contain 45 images each and were built at three seeds. Learned generators such as diffusion models were not tested.</w:t>
      </w:r>
    </w:p>
    <w:p>
      <w:pPr>
        <w:spacing w:after="80" w:line="276"/>
        <w:ind w:left="240"/>
        <w:jc w:val="both"/>
      </w:pPr>
      <w:r>
        <w:rPr>
          <w:rFonts w:ascii="Times New Roman" w:cs="Times New Roman" w:eastAsia="Times New Roman" w:hAnsi="Times New Roman"/>
          <w:color w:val="000000"/>
          <w:sz w:val="22"/>
          <w:szCs w:val="22"/>
        </w:rPr>
        <w:t xml:space="preserve">The modern group was trained once, on 392 images at 256 pixels, and nnU-Net for 100 epochs rather than its default 1,000. Its models are representative of current architectures but not of every deployed system. SAM and MedSAM were excluded from the pools because their prompts came from the reference masks.</w:t>
      </w:r>
    </w:p>
    <w:p>
      <w:pPr>
        <w:spacing w:after="80" w:line="276"/>
        <w:ind w:left="240"/>
        <w:jc w:val="both"/>
      </w:pPr>
      <w:r>
        <w:rPr>
          <w:rFonts w:ascii="Times New Roman" w:cs="Times New Roman" w:eastAsia="Times New Roman" w:hAnsi="Times New Roman"/>
          <w:color w:val="000000"/>
          <w:sz w:val="22"/>
          <w:szCs w:val="22"/>
        </w:rPr>
        <w:t xml:space="preserve">Groups of 11 to 18 methods give wide intervals, and the within-dataset control among modern models is imprecise.</w:t>
      </w:r>
    </w:p>
    <w:p>
      <w:pPr>
        <w:spacing w:after="80" w:line="276"/>
        <w:ind w:left="240"/>
        <w:jc w:val="both"/>
      </w:pPr>
      <w:r>
        <w:rPr>
          <w:rFonts w:ascii="Times New Roman" w:cs="Times New Roman" w:eastAsia="Times New Roman" w:hAnsi="Times New Roman"/>
          <w:color w:val="000000"/>
          <w:sz w:val="22"/>
          <w:szCs w:val="22"/>
        </w:rPr>
        <w:t xml:space="preserve">Images were not harmonised to one resolution across datasets, and NSD uses a fixed 2-pixel tolerance. Untrained methods and probability-output methods receive different post-processing, which coincides with the main contrast between groups; its parameters were not varied.</w:t>
      </w:r>
    </w:p>
    <w:p>
      <w:pPr>
        <w:spacing w:after="80" w:line="276"/>
        <w:ind w:left="240"/>
        <w:jc w:val="both"/>
      </w:pPr>
      <w:r>
        <w:rPr>
          <w:rFonts w:ascii="Times New Roman" w:cs="Times New Roman" w:eastAsia="Times New Roman" w:hAnsi="Times New Roman"/>
          <w:color w:val="000000"/>
          <w:sz w:val="22"/>
          <w:szCs w:val="22"/>
        </w:rPr>
        <w:t xml:space="preserve">The synthetic-benchmark analyses are exploratory and not corrected for multiple comparisons. The generator-family comparison rests on four benchmarks at three seeds.</w:t>
      </w:r>
    </w:p>
    <w:p>
      <w:pPr>
        <w:spacing w:after="80" w:line="276"/>
        <w:ind w:left="240"/>
        <w:jc w:val="both"/>
      </w:pPr>
      <w:r>
        <w:rPr>
          <w:rFonts w:ascii="Times New Roman" w:cs="Times New Roman" w:eastAsia="Times New Roman" w:hAnsi="Times New Roman"/>
          <w:color w:val="000000"/>
          <w:sz w:val="22"/>
          <w:szCs w:val="22"/>
        </w:rPr>
        <w:t xml:space="preserve">Medetec's 152 images are 38 photographs with four variants each, so its effective sample is smaller than its image count.</w:t>
      </w:r>
    </w:p>
    <w:p>
      <w:pPr>
        <w:pStyle w:val="Heading1"/>
        <w:keepNext/>
        <w:spacing w:after="160" w:before="360"/>
      </w:pPr>
      <w:r>
        <w:rPr>
          <w:rFonts w:ascii="Times New Roman" w:cs="Times New Roman" w:eastAsia="Times New Roman" w:hAnsi="Times New Roman"/>
          <w:b/>
          <w:bCs/>
          <w:color w:val="000000"/>
          <w:sz w:val="26"/>
          <w:szCs w:val="26"/>
        </w:rPr>
        <w:t xml:space="preserve">Conclusions</w:t>
      </w:r>
    </w:p>
    <w:p>
      <w:pPr>
        <w:spacing w:after="140" w:line="276"/>
        <w:jc w:val="both"/>
      </w:pPr>
      <w:r>
        <w:rPr>
          <w:rFonts w:ascii="Times New Roman" w:cs="Times New Roman" w:eastAsia="Times New Roman" w:hAnsi="Times New Roman"/>
          <w:color w:val="000000"/>
          <w:sz w:val="22"/>
          <w:szCs w:val="22"/>
        </w:rPr>
        <w:t xml:space="preserve">Agreement between clinical datasets about which segmentation method is better is organised by modality within every group of methods we tested, but pooling classical and trained methods inflates it within a modality and reverses it across modalities. A synthetic benchmark validated over such a pool inherits the inflation. Among the modern models that practitioners choose between, wound datasets that each rank the models reproducibly do not agree with each other, and no synthetic benchmark can be validated against them. Validity should be reported within the group of methods to be compared, against several clinical datasets, with intervals over methods.</w:t>
      </w:r>
    </w:p>
    <w:p>
      <w:pPr>
        <w:pStyle w:val="Heading1"/>
        <w:keepNext/>
        <w:spacing w:after="160" w:before="360"/>
      </w:pPr>
      <w:r>
        <w:rPr>
          <w:rFonts w:ascii="Times New Roman" w:cs="Times New Roman" w:eastAsia="Times New Roman" w:hAnsi="Times New Roman"/>
          <w:b/>
          <w:bCs/>
          <w:color w:val="000000"/>
          <w:sz w:val="26"/>
          <w:szCs w:val="26"/>
        </w:rPr>
        <w:t xml:space="preserve">Statements and Declarations</w:t>
      </w:r>
    </w:p>
    <w:p>
      <w:pPr>
        <w:spacing w:after="80" w:line="276"/>
        <w:jc w:val="both"/>
      </w:pPr>
      <w:r>
        <w:rPr>
          <w:rFonts w:ascii="Times New Roman" w:cs="Times New Roman" w:eastAsia="Times New Roman" w:hAnsi="Times New Roman"/>
          <w:b/>
          <w:bCs/>
          <w:color w:val="000000"/>
          <w:sz w:val="22"/>
          <w:szCs w:val="22"/>
        </w:rPr>
        <w:t xml:space="preserve">Ethics approval.</w:t>
      </w:r>
      <w:r>
        <w:rPr>
          <w:rFonts w:ascii="Times New Roman" w:cs="Times New Roman" w:eastAsia="Times New Roman" w:hAnsi="Times New Roman"/>
          <w:color w:val="000000"/>
          <w:sz w:val="22"/>
          <w:szCs w:val="22"/>
        </w:rPr>
        <w:t xml:space="preserve"> Not required. The study used only publicly available, de-identified datasets distributed for research use.</w:t>
      </w:r>
    </w:p>
    <w:p>
      <w:pPr>
        <w:spacing w:after="80" w:line="276"/>
        <w:jc w:val="both"/>
      </w:pPr>
      <w:r>
        <w:rPr>
          <w:rFonts w:ascii="Times New Roman" w:cs="Times New Roman" w:eastAsia="Times New Roman" w:hAnsi="Times New Roman"/>
          <w:b/>
          <w:bCs/>
          <w:color w:val="000000"/>
          <w:sz w:val="22"/>
          <w:szCs w:val="22"/>
        </w:rPr>
        <w:t xml:space="preserve">Consent to participate and to publish.</w:t>
      </w:r>
      <w:r>
        <w:rPr>
          <w:rFonts w:ascii="Times New Roman" w:cs="Times New Roman" w:eastAsia="Times New Roman" w:hAnsi="Times New Roman"/>
          <w:color w:val="000000"/>
          <w:sz w:val="22"/>
          <w:szCs w:val="22"/>
        </w:rPr>
        <w:t xml:space="preserve"> Not applicable.</w:t>
      </w:r>
    </w:p>
    <w:p>
      <w:pPr>
        <w:spacing w:after="80" w:line="276"/>
        <w:jc w:val="both"/>
      </w:pPr>
      <w:r>
        <w:rPr>
          <w:rFonts w:ascii="Times New Roman" w:cs="Times New Roman" w:eastAsia="Times New Roman" w:hAnsi="Times New Roman"/>
          <w:b/>
          <w:bCs/>
          <w:color w:val="000000"/>
          <w:sz w:val="22"/>
          <w:szCs w:val="22"/>
        </w:rPr>
        <w:t xml:space="preserve">Data availability.</w:t>
      </w:r>
      <w:r>
        <w:rPr>
          <w:rFonts w:ascii="Times New Roman" w:cs="Times New Roman" w:eastAsia="Times New Roman" w:hAnsi="Times New Roman"/>
          <w:color w:val="000000"/>
          <w:sz w:val="22"/>
          <w:szCs w:val="22"/>
        </w:rPr>
        <w:t xml:space="preserve"> All clinical datasets are publicly available from their original distributors (Table 1). Per-method scores for every method on every dataset and synthetic benchmark, and the agreement for every pair of datasets in every method set, are provided in Online Resource 2. Supplementary figures and tables are in Online Resource 1.</w:t>
      </w:r>
    </w:p>
    <w:p>
      <w:r>
        <w:br w:type="page"/>
      </w:r>
    </w:p>
    <w:p>
      <w:pPr>
        <w:pStyle w:val="Heading1"/>
        <w:keepNext/>
        <w:spacing w:after="160" w:before="360"/>
      </w:pPr>
      <w:r>
        <w:rPr>
          <w:rFonts w:ascii="Times New Roman" w:cs="Times New Roman" w:eastAsia="Times New Roman" w:hAnsi="Times New Roman"/>
          <w:b/>
          <w:bCs/>
          <w:color w:val="000000"/>
          <w:sz w:val="26"/>
          <w:szCs w:val="26"/>
        </w:rPr>
        <w:t xml:space="preserve">References</w:t>
      </w:r>
    </w:p>
    <w:p>
      <w:pPr>
        <w:spacing w:after="70" w:line="250"/>
        <w:ind w:left="360" w:hanging="360"/>
        <w:jc w:val="left"/>
      </w:pPr>
      <w:r>
        <w:rPr>
          <w:rFonts w:ascii="Times New Roman" w:cs="Times New Roman" w:eastAsia="Times New Roman" w:hAnsi="Times New Roman"/>
          <w:color w:val="000000"/>
          <w:sz w:val="19"/>
          <w:szCs w:val="19"/>
        </w:rPr>
        <w:t xml:space="preserve">1. Badano, A., Graff, C.G., Badal, A., et al., 2018. Evaluation of digital breast tomosynthesis as replacement of full-field digital mammography using an in silico imaging trial. JAMA Network Open 1(7), e185474. </w:t>
      </w:r>
      <w:hyperlink w:history="1" r:id="rId-keymuj_oz5kt2rqmta1g">
        <w:r>
          <w:rPr>
            <w:rFonts w:ascii="Times New Roman" w:cs="Times New Roman" w:eastAsia="Times New Roman" w:hAnsi="Times New Roman"/>
            <w:color w:val="28598A"/>
            <w:sz w:val="19"/>
            <w:szCs w:val="19"/>
            <w:u w:val="single" w:color="28598A"/>
          </w:rPr>
          <w:t xml:space="preserve">https://doi.org/10.1001/jamanetworkopen.2018.5474</w:t>
        </w:r>
      </w:hyperlink>
    </w:p>
    <w:p>
      <w:pPr>
        <w:spacing w:after="70" w:line="250"/>
        <w:ind w:left="360" w:hanging="360"/>
        <w:jc w:val="left"/>
      </w:pPr>
      <w:r>
        <w:rPr>
          <w:rFonts w:ascii="Times New Roman" w:cs="Times New Roman" w:eastAsia="Times New Roman" w:hAnsi="Times New Roman"/>
          <w:color w:val="000000"/>
          <w:sz w:val="19"/>
          <w:szCs w:val="19"/>
        </w:rPr>
        <w:t xml:space="preserve">2. Sizikova, E., Saharkhiz, N., Sharma, D., et al., 2023. Knowledge-based in silico models and dataset for the comparative evaluation of mammography AI for a range of breast characteristics, lesion conspicuities and doses. In: Advances in Neural Information Processing Systems 36 (NeurIPS 2023), Datasets and Benchmarks Track, pp. 37401-37412. </w:t>
      </w:r>
      <w:hyperlink w:history="1" r:id="rId7aojni5xfx5rdmppltodp">
        <w:r>
          <w:rPr>
            <w:rFonts w:ascii="Times New Roman" w:cs="Times New Roman" w:eastAsia="Times New Roman" w:hAnsi="Times New Roman"/>
            <w:color w:val="28598A"/>
            <w:sz w:val="19"/>
            <w:szCs w:val="19"/>
            <w:u w:val="single" w:color="28598A"/>
          </w:rPr>
          <w:t xml:space="preserve">https://doi.org/10.52202/075280-1626</w:t>
        </w:r>
      </w:hyperlink>
    </w:p>
    <w:p>
      <w:pPr>
        <w:spacing w:after="70" w:line="250"/>
        <w:ind w:left="360" w:hanging="360"/>
        <w:jc w:val="left"/>
      </w:pPr>
      <w:r>
        <w:rPr>
          <w:rFonts w:ascii="Times New Roman" w:cs="Times New Roman" w:eastAsia="Times New Roman" w:hAnsi="Times New Roman"/>
          <w:color w:val="000000"/>
          <w:sz w:val="19"/>
          <w:szCs w:val="19"/>
        </w:rPr>
        <w:t xml:space="preserve">3. Tushar, F.I., Momy, U.H., Lo, J.Y., et al., 2026. iTRIALSPACE: Programmable virtual lesion trials for controlled evaluation of lung CT models. arXiv preprint. </w:t>
      </w:r>
      <w:hyperlink w:history="1" r:id="rId0i0fd8qn0zveiqp6xfkst">
        <w:r>
          <w:rPr>
            <w:rFonts w:ascii="Times New Roman" w:cs="Times New Roman" w:eastAsia="Times New Roman" w:hAnsi="Times New Roman"/>
            <w:color w:val="28598A"/>
            <w:sz w:val="19"/>
            <w:szCs w:val="19"/>
            <w:u w:val="single" w:color="28598A"/>
          </w:rPr>
          <w:t xml:space="preserve">https://arxiv.org/abs/2605.05761</w:t>
        </w:r>
      </w:hyperlink>
    </w:p>
    <w:p>
      <w:pPr>
        <w:spacing w:after="70" w:line="250"/>
        <w:ind w:left="360" w:hanging="360"/>
        <w:jc w:val="left"/>
      </w:pPr>
      <w:r>
        <w:rPr>
          <w:rFonts w:ascii="Times New Roman" w:cs="Times New Roman" w:eastAsia="Times New Roman" w:hAnsi="Times New Roman"/>
          <w:color w:val="000000"/>
          <w:sz w:val="19"/>
          <w:szCs w:val="19"/>
        </w:rPr>
        <w:t xml:space="preserve">4. Pérez-García, F., Bond-Taylor, S., Sanchez, P.P., et al., 2024. RadEdit: Stress-testing biomedical vision models via diffusion image editing. In: Computer Vision, ECCV 2024. Lecture Notes in Computer Science 15070, pp. 358-376. </w:t>
      </w:r>
      <w:hyperlink w:history="1" r:id="rIdl_ibp7p63gwnpgi0xcybr">
        <w:r>
          <w:rPr>
            <w:rFonts w:ascii="Times New Roman" w:cs="Times New Roman" w:eastAsia="Times New Roman" w:hAnsi="Times New Roman"/>
            <w:color w:val="28598A"/>
            <w:sz w:val="19"/>
            <w:szCs w:val="19"/>
            <w:u w:val="single" w:color="28598A"/>
          </w:rPr>
          <w:t xml:space="preserve">https://doi.org/10.1007/978-3-031-73254-6_21</w:t>
        </w:r>
      </w:hyperlink>
    </w:p>
    <w:p>
      <w:pPr>
        <w:spacing w:after="70" w:line="250"/>
        <w:ind w:left="360" w:hanging="360"/>
        <w:jc w:val="left"/>
      </w:pPr>
      <w:r>
        <w:rPr>
          <w:rFonts w:ascii="Times New Roman" w:cs="Times New Roman" w:eastAsia="Times New Roman" w:hAnsi="Times New Roman"/>
          <w:color w:val="000000"/>
          <w:sz w:val="19"/>
          <w:szCs w:val="19"/>
        </w:rPr>
        <w:t xml:space="preserve">5. Maier-Hein, L., Eisenmann, M., Reinke, A., et al., 2018. Why rankings of biomedical image analysis competitions should be interpreted with care. Nature Communications 9, 5217. </w:t>
      </w:r>
      <w:hyperlink w:history="1" r:id="rId_ujrxuiomsehsl2bgxlmu">
        <w:r>
          <w:rPr>
            <w:rFonts w:ascii="Times New Roman" w:cs="Times New Roman" w:eastAsia="Times New Roman" w:hAnsi="Times New Roman"/>
            <w:color w:val="28598A"/>
            <w:sz w:val="19"/>
            <w:szCs w:val="19"/>
            <w:u w:val="single" w:color="28598A"/>
          </w:rPr>
          <w:t xml:space="preserve">https://doi.org/10.1038/s41467-018-07619-7</w:t>
        </w:r>
      </w:hyperlink>
    </w:p>
    <w:p>
      <w:pPr>
        <w:spacing w:after="70" w:line="250"/>
        <w:ind w:left="360" w:hanging="360"/>
        <w:jc w:val="left"/>
      </w:pPr>
      <w:r>
        <w:rPr>
          <w:rFonts w:ascii="Times New Roman" w:cs="Times New Roman" w:eastAsia="Times New Roman" w:hAnsi="Times New Roman"/>
          <w:color w:val="000000"/>
          <w:sz w:val="19"/>
          <w:szCs w:val="19"/>
        </w:rPr>
        <w:t xml:space="preserve">6. Reinke, A., Tizabi, M.D., Baumgartner, M., et al., 2024. Understanding metric-related pitfalls in image analysis validation. Nature Methods 21(2), 182-194. </w:t>
      </w:r>
      <w:hyperlink w:history="1" r:id="rIduhva7ljyxnxzeewv5pnly">
        <w:r>
          <w:rPr>
            <w:rFonts w:ascii="Times New Roman" w:cs="Times New Roman" w:eastAsia="Times New Roman" w:hAnsi="Times New Roman"/>
            <w:color w:val="28598A"/>
            <w:sz w:val="19"/>
            <w:szCs w:val="19"/>
            <w:u w:val="single" w:color="28598A"/>
          </w:rPr>
          <w:t xml:space="preserve">https://doi.org/10.1038/s41592-023-02150-0</w:t>
        </w:r>
      </w:hyperlink>
    </w:p>
    <w:p>
      <w:pPr>
        <w:spacing w:after="70" w:line="250"/>
        <w:ind w:left="360" w:hanging="360"/>
        <w:jc w:val="left"/>
      </w:pPr>
      <w:r>
        <w:rPr>
          <w:rFonts w:ascii="Times New Roman" w:cs="Times New Roman" w:eastAsia="Times New Roman" w:hAnsi="Times New Roman"/>
          <w:color w:val="000000"/>
          <w:sz w:val="19"/>
          <w:szCs w:val="19"/>
        </w:rPr>
        <w:t xml:space="preserve">7. Dehghani, M., Tay, Y., Gritsenko, A.A., et al., 2021. The benchmark lottery. arXiv preprint. </w:t>
      </w:r>
      <w:hyperlink w:history="1" r:id="rIdktxfhvnabyjdbaost0kcc">
        <w:r>
          <w:rPr>
            <w:rFonts w:ascii="Times New Roman" w:cs="Times New Roman" w:eastAsia="Times New Roman" w:hAnsi="Times New Roman"/>
            <w:color w:val="28598A"/>
            <w:sz w:val="19"/>
            <w:szCs w:val="19"/>
            <w:u w:val="single" w:color="28598A"/>
          </w:rPr>
          <w:t xml:space="preserve">https://arxiv.org/abs/2107.07002</w:t>
        </w:r>
      </w:hyperlink>
    </w:p>
    <w:p>
      <w:pPr>
        <w:spacing w:after="70" w:line="250"/>
        <w:ind w:left="360" w:hanging="360"/>
        <w:jc w:val="left"/>
      </w:pPr>
      <w:r>
        <w:rPr>
          <w:rFonts w:ascii="Times New Roman" w:cs="Times New Roman" w:eastAsia="Times New Roman" w:hAnsi="Times New Roman"/>
          <w:color w:val="000000"/>
          <w:sz w:val="19"/>
          <w:szCs w:val="19"/>
        </w:rPr>
        <w:t xml:space="preserve">8. Piérard, S., Deliège, A., Halin, A., Van Droogenbroeck, M., 2025. A methodology to evaluate strategies predicting rankings on unseen domains. In: 2025 IEEE International Conference on Multimedia and Expo Workshops (ICMEW), pp. 1-6. </w:t>
      </w:r>
      <w:hyperlink w:history="1" r:id="rId-oumbdgst_jpkjjzu1nik">
        <w:r>
          <w:rPr>
            <w:rFonts w:ascii="Times New Roman" w:cs="Times New Roman" w:eastAsia="Times New Roman" w:hAnsi="Times New Roman"/>
            <w:color w:val="28598A"/>
            <w:sz w:val="19"/>
            <w:szCs w:val="19"/>
            <w:u w:val="single" w:color="28598A"/>
          </w:rPr>
          <w:t xml:space="preserve">https://doi.org/10.1109/ICMEW68306.2025.11152102</w:t>
        </w:r>
      </w:hyperlink>
    </w:p>
    <w:p>
      <w:pPr>
        <w:spacing w:after="70" w:line="250"/>
        <w:ind w:left="360" w:hanging="360"/>
        <w:jc w:val="left"/>
      </w:pPr>
      <w:r>
        <w:rPr>
          <w:rFonts w:ascii="Times New Roman" w:cs="Times New Roman" w:eastAsia="Times New Roman" w:hAnsi="Times New Roman"/>
          <w:color w:val="000000"/>
          <w:sz w:val="19"/>
          <w:szCs w:val="19"/>
        </w:rPr>
        <w:t xml:space="preserve">9. Bassi, P.R.A.S., Li, W., Tang, Y., et al., 2024. Touchstone benchmark: Are we on the right way for evaluating AI algorithms for medical segmentation? In: Advances in Neural Information Processing Systems 37 (NeurIPS 2024), Datasets and Benchmarks Track. </w:t>
      </w:r>
      <w:hyperlink w:history="1" r:id="rIdbnirhmynapu5ghasngnnm">
        <w:r>
          <w:rPr>
            <w:rFonts w:ascii="Times New Roman" w:cs="Times New Roman" w:eastAsia="Times New Roman" w:hAnsi="Times New Roman"/>
            <w:color w:val="28598A"/>
            <w:sz w:val="19"/>
            <w:szCs w:val="19"/>
            <w:u w:val="single" w:color="28598A"/>
          </w:rPr>
          <w:t xml:space="preserve">https://arxiv.org/abs/2411.03670</w:t>
        </w:r>
      </w:hyperlink>
    </w:p>
    <w:p>
      <w:pPr>
        <w:spacing w:after="70" w:line="250"/>
        <w:ind w:left="360" w:hanging="360"/>
        <w:jc w:val="left"/>
      </w:pPr>
      <w:r>
        <w:rPr>
          <w:rFonts w:ascii="Times New Roman" w:cs="Times New Roman" w:eastAsia="Times New Roman" w:hAnsi="Times New Roman"/>
          <w:color w:val="000000"/>
          <w:sz w:val="19"/>
          <w:szCs w:val="19"/>
        </w:rPr>
        <w:t xml:space="preserve">10. Ali, S., Ghatwary, N., Jha, D., et al., 2024. Assessing generalisability of deep learning-based polyp detection and segmentation methods through a computer vision challenge. Scientific Reports 14, 2032. </w:t>
      </w:r>
      <w:hyperlink w:history="1" r:id="rIdeyiear2sgxzw0wu9brgth">
        <w:r>
          <w:rPr>
            <w:rFonts w:ascii="Times New Roman" w:cs="Times New Roman" w:eastAsia="Times New Roman" w:hAnsi="Times New Roman"/>
            <w:color w:val="28598A"/>
            <w:sz w:val="19"/>
            <w:szCs w:val="19"/>
            <w:u w:val="single" w:color="28598A"/>
          </w:rPr>
          <w:t xml:space="preserve">https://doi.org/10.1038/s41598-024-52063-x</w:t>
        </w:r>
      </w:hyperlink>
    </w:p>
    <w:p>
      <w:pPr>
        <w:spacing w:after="70" w:line="250"/>
        <w:ind w:left="360" w:hanging="360"/>
        <w:jc w:val="left"/>
      </w:pPr>
      <w:r>
        <w:rPr>
          <w:rFonts w:ascii="Times New Roman" w:cs="Times New Roman" w:eastAsia="Times New Roman" w:hAnsi="Times New Roman"/>
          <w:color w:val="000000"/>
          <w:sz w:val="19"/>
          <w:szCs w:val="19"/>
        </w:rPr>
        <w:t xml:space="preserve">11. Urooj, A., Ul Abdien, Z., Madan, N., 2026. Metrics or mirage? An audit of evaluation inconsistencies in colonoscopy polyp segmentation benchmarks. arXiv preprint. </w:t>
      </w:r>
      <w:hyperlink w:history="1" r:id="rIdepjfy0efp69kmwf1lpon0">
        <w:r>
          <w:rPr>
            <w:rFonts w:ascii="Times New Roman" w:cs="Times New Roman" w:eastAsia="Times New Roman" w:hAnsi="Times New Roman"/>
            <w:color w:val="28598A"/>
            <w:sz w:val="19"/>
            <w:szCs w:val="19"/>
            <w:u w:val="single" w:color="28598A"/>
          </w:rPr>
          <w:t xml:space="preserve">https://arxiv.org/abs/2607.08203</w:t>
        </w:r>
      </w:hyperlink>
    </w:p>
    <w:p>
      <w:pPr>
        <w:spacing w:after="70" w:line="250"/>
        <w:ind w:left="360" w:hanging="360"/>
        <w:jc w:val="left"/>
      </w:pPr>
      <w:r>
        <w:rPr>
          <w:rFonts w:ascii="Times New Roman" w:cs="Times New Roman" w:eastAsia="Times New Roman" w:hAnsi="Times New Roman"/>
          <w:color w:val="000000"/>
          <w:sz w:val="19"/>
          <w:szCs w:val="19"/>
        </w:rPr>
        <w:t xml:space="preserve">12. Kang, C., 2022. Is synthetic dataset reliable for benchmarking generalizable person re-identification? In: 2022 IEEE International Joint Conference on Biometrics (IJCB), pp. 1-8. </w:t>
      </w:r>
      <w:hyperlink w:history="1" r:id="rIdg-zdni4iykpnblflkxkbd">
        <w:r>
          <w:rPr>
            <w:rFonts w:ascii="Times New Roman" w:cs="Times New Roman" w:eastAsia="Times New Roman" w:hAnsi="Times New Roman"/>
            <w:color w:val="28598A"/>
            <w:sz w:val="19"/>
            <w:szCs w:val="19"/>
            <w:u w:val="single" w:color="28598A"/>
          </w:rPr>
          <w:t xml:space="preserve">https://doi.org/10.1109/IJCB54206.2022.10007952</w:t>
        </w:r>
      </w:hyperlink>
    </w:p>
    <w:p>
      <w:pPr>
        <w:spacing w:after="70" w:line="250"/>
        <w:ind w:left="360" w:hanging="360"/>
        <w:jc w:val="left"/>
      </w:pPr>
      <w:r>
        <w:rPr>
          <w:rFonts w:ascii="Times New Roman" w:cs="Times New Roman" w:eastAsia="Times New Roman" w:hAnsi="Times New Roman"/>
          <w:color w:val="000000"/>
          <w:sz w:val="19"/>
          <w:szCs w:val="19"/>
        </w:rPr>
        <w:t xml:space="preserve">13. Borsukiewicz, P., Lunghi, D., Ouédraogo, W.C., Klein, J., Bissyandé, T.F., 2026. Benchmarking face recognition without real faces. arXiv preprint. </w:t>
      </w:r>
      <w:hyperlink w:history="1" r:id="rIde2-hqbkzbzuomtp2mkdbx">
        <w:r>
          <w:rPr>
            <w:rFonts w:ascii="Times New Roman" w:cs="Times New Roman" w:eastAsia="Times New Roman" w:hAnsi="Times New Roman"/>
            <w:color w:val="28598A"/>
            <w:sz w:val="19"/>
            <w:szCs w:val="19"/>
            <w:u w:val="single" w:color="28598A"/>
          </w:rPr>
          <w:t xml:space="preserve">https://arxiv.org/abs/2607.14932</w:t>
        </w:r>
      </w:hyperlink>
    </w:p>
    <w:p>
      <w:pPr>
        <w:spacing w:after="70" w:line="250"/>
        <w:ind w:left="360" w:hanging="360"/>
        <w:jc w:val="left"/>
      </w:pPr>
      <w:r>
        <w:rPr>
          <w:rFonts w:ascii="Times New Roman" w:cs="Times New Roman" w:eastAsia="Times New Roman" w:hAnsi="Times New Roman"/>
          <w:color w:val="000000"/>
          <w:sz w:val="19"/>
          <w:szCs w:val="19"/>
        </w:rPr>
        <w:t xml:space="preserve">14. Hu, Q., Yuille, A., Zhou, Z., 2023. Synthetic data as validation. arXiv preprint. </w:t>
      </w:r>
      <w:hyperlink w:history="1" r:id="rIdtlykjkwx9-icqkodyh8jk">
        <w:r>
          <w:rPr>
            <w:rFonts w:ascii="Times New Roman" w:cs="Times New Roman" w:eastAsia="Times New Roman" w:hAnsi="Times New Roman"/>
            <w:color w:val="28598A"/>
            <w:sz w:val="19"/>
            <w:szCs w:val="19"/>
            <w:u w:val="single" w:color="28598A"/>
          </w:rPr>
          <w:t xml:space="preserve">https://arxiv.org/abs/2310.16052</w:t>
        </w:r>
      </w:hyperlink>
    </w:p>
    <w:p>
      <w:pPr>
        <w:spacing w:after="70" w:line="250"/>
        <w:ind w:left="360" w:hanging="360"/>
        <w:jc w:val="left"/>
      </w:pPr>
      <w:r>
        <w:rPr>
          <w:rFonts w:ascii="Times New Roman" w:cs="Times New Roman" w:eastAsia="Times New Roman" w:hAnsi="Times New Roman"/>
          <w:color w:val="000000"/>
          <w:sz w:val="19"/>
          <w:szCs w:val="19"/>
        </w:rPr>
        <w:t xml:space="preserve">15. van Breugel, B., Seedat, N., Imrie, F., van der Schaar, M., 2023. Can you rely on your model evaluation? Improving model evaluation with synthetic test data. In: Advances in Neural Information Processing Systems 36 (NeurIPS 2023), pp. 1889-1904. </w:t>
      </w:r>
      <w:hyperlink w:history="1" r:id="rIdf4qsexux5zlbzdwdmcvvo">
        <w:r>
          <w:rPr>
            <w:rFonts w:ascii="Times New Roman" w:cs="Times New Roman" w:eastAsia="Times New Roman" w:hAnsi="Times New Roman"/>
            <w:color w:val="28598A"/>
            <w:sz w:val="19"/>
            <w:szCs w:val="19"/>
            <w:u w:val="single" w:color="28598A"/>
          </w:rPr>
          <w:t xml:space="preserve">https://doi.org/10.52202/075280-0091</w:t>
        </w:r>
      </w:hyperlink>
    </w:p>
    <w:p>
      <w:pPr>
        <w:spacing w:after="70" w:line="250"/>
        <w:ind w:left="360" w:hanging="360"/>
        <w:jc w:val="left"/>
      </w:pPr>
      <w:r>
        <w:rPr>
          <w:rFonts w:ascii="Times New Roman" w:cs="Times New Roman" w:eastAsia="Times New Roman" w:hAnsi="Times New Roman"/>
          <w:color w:val="000000"/>
          <w:sz w:val="19"/>
          <w:szCs w:val="19"/>
        </w:rPr>
        <w:t xml:space="preserve">16. Shoshan, A., Bhonker, N., Kviatkovsky, I., Fintz, M., Medioni, G., 2023. Synthetic data for model selection. In: Proceedings of the 40th International Conference on Machine Learning (ICML 2023), PMLR 202, pp. 31633-31656. </w:t>
      </w:r>
      <w:hyperlink w:history="1" r:id="rIdmyqrzmmoaidad8iikgyn5">
        <w:r>
          <w:rPr>
            <w:rFonts w:ascii="Times New Roman" w:cs="Times New Roman" w:eastAsia="Times New Roman" w:hAnsi="Times New Roman"/>
            <w:color w:val="28598A"/>
            <w:sz w:val="19"/>
            <w:szCs w:val="19"/>
            <w:u w:val="single" w:color="28598A"/>
          </w:rPr>
          <w:t xml:space="preserve">https://arxiv.org/abs/2105.00717</w:t>
        </w:r>
      </w:hyperlink>
    </w:p>
    <w:p>
      <w:pPr>
        <w:spacing w:after="70" w:line="250"/>
        <w:ind w:left="360" w:hanging="360"/>
        <w:jc w:val="left"/>
      </w:pPr>
      <w:r>
        <w:rPr>
          <w:rFonts w:ascii="Times New Roman" w:cs="Times New Roman" w:eastAsia="Times New Roman" w:hAnsi="Times New Roman"/>
          <w:color w:val="000000"/>
          <w:sz w:val="19"/>
          <w:szCs w:val="19"/>
        </w:rPr>
        <w:t xml:space="preserve">17. Tushar, F.I., 2026. When does synthetic CT transfer? A label-free donor/host diagnostic for medical vision-language model routing on real lung CT. arXiv preprint. </w:t>
      </w:r>
      <w:hyperlink w:history="1" r:id="rIdecmpzfwis6wgsn4mmk0ii">
        <w:r>
          <w:rPr>
            <w:rFonts w:ascii="Times New Roman" w:cs="Times New Roman" w:eastAsia="Times New Roman" w:hAnsi="Times New Roman"/>
            <w:color w:val="28598A"/>
            <w:sz w:val="19"/>
            <w:szCs w:val="19"/>
            <w:u w:val="single" w:color="28598A"/>
          </w:rPr>
          <w:t xml:space="preserve">https://arxiv.org/abs/2606.29232</w:t>
        </w:r>
      </w:hyperlink>
    </w:p>
    <w:p>
      <w:pPr>
        <w:spacing w:after="70" w:line="250"/>
        <w:ind w:left="360" w:hanging="360"/>
        <w:jc w:val="left"/>
      </w:pPr>
      <w:r>
        <w:rPr>
          <w:rFonts w:ascii="Times New Roman" w:cs="Times New Roman" w:eastAsia="Times New Roman" w:hAnsi="Times New Roman"/>
          <w:color w:val="000000"/>
          <w:sz w:val="19"/>
          <w:szCs w:val="19"/>
        </w:rPr>
        <w:t xml:space="preserve">18. Perlitz, Y., Gera, A., Arviv, O., et al., 2024. Do these LLM benchmarks agree? Fixing benchmark evaluation with BenchBench. arXiv preprint. </w:t>
      </w:r>
      <w:hyperlink w:history="1" r:id="rIdfrpr1ukp7eedomnxfkrg-">
        <w:r>
          <w:rPr>
            <w:rFonts w:ascii="Times New Roman" w:cs="Times New Roman" w:eastAsia="Times New Roman" w:hAnsi="Times New Roman"/>
            <w:color w:val="28598A"/>
            <w:sz w:val="19"/>
            <w:szCs w:val="19"/>
            <w:u w:val="single" w:color="28598A"/>
          </w:rPr>
          <w:t xml:space="preserve">https://arxiv.org/abs/2407.13696</w:t>
        </w:r>
      </w:hyperlink>
    </w:p>
    <w:p>
      <w:pPr>
        <w:spacing w:after="70" w:line="250"/>
        <w:ind w:left="360" w:hanging="360"/>
        <w:jc w:val="left"/>
      </w:pPr>
      <w:r>
        <w:rPr>
          <w:rFonts w:ascii="Times New Roman" w:cs="Times New Roman" w:eastAsia="Times New Roman" w:hAnsi="Times New Roman"/>
          <w:color w:val="000000"/>
          <w:sz w:val="19"/>
          <w:szCs w:val="19"/>
        </w:rPr>
        <w:t xml:space="preserve">19. Zhang, G., Dominguez-Olmedo, R., Hardt, M., 2026. Train-before-test harmonizes language model rankings. In: International Conference on Learning Representations (ICLR 2026). </w:t>
      </w:r>
      <w:hyperlink w:history="1" r:id="rIdyzg26ehcxedyjmmusmume">
        <w:r>
          <w:rPr>
            <w:rFonts w:ascii="Times New Roman" w:cs="Times New Roman" w:eastAsia="Times New Roman" w:hAnsi="Times New Roman"/>
            <w:color w:val="28598A"/>
            <w:sz w:val="19"/>
            <w:szCs w:val="19"/>
            <w:u w:val="single" w:color="28598A"/>
          </w:rPr>
          <w:t xml:space="preserve">https://arxiv.org/abs/2507.05195</w:t>
        </w:r>
      </w:hyperlink>
    </w:p>
    <w:p>
      <w:pPr>
        <w:spacing w:after="70" w:line="250"/>
        <w:ind w:left="360" w:hanging="360"/>
        <w:jc w:val="left"/>
      </w:pPr>
      <w:r>
        <w:rPr>
          <w:rFonts w:ascii="Times New Roman" w:cs="Times New Roman" w:eastAsia="Times New Roman" w:hAnsi="Times New Roman"/>
          <w:color w:val="000000"/>
          <w:sz w:val="19"/>
          <w:szCs w:val="19"/>
        </w:rPr>
        <w:t xml:space="preserve">20. Teney, D., Lin, Y., Oh, S.J., Abbasnejad, E., 2023. ID and OOD performance are sometimes inversely correlated on real-world datasets. In: Advances in Neural Information Processing Systems 36 (NeurIPS 2023). </w:t>
      </w:r>
      <w:hyperlink w:history="1" r:id="rIdvcuybdswmgdaymazsgvnl">
        <w:r>
          <w:rPr>
            <w:rFonts w:ascii="Times New Roman" w:cs="Times New Roman" w:eastAsia="Times New Roman" w:hAnsi="Times New Roman"/>
            <w:color w:val="28598A"/>
            <w:sz w:val="19"/>
            <w:szCs w:val="19"/>
            <w:u w:val="single" w:color="28598A"/>
          </w:rPr>
          <w:t xml:space="preserve">https://arxiv.org/abs/2209.00613</w:t>
        </w:r>
      </w:hyperlink>
    </w:p>
    <w:p>
      <w:pPr>
        <w:spacing w:after="70" w:line="250"/>
        <w:ind w:left="360" w:hanging="360"/>
        <w:jc w:val="left"/>
      </w:pPr>
      <w:r>
        <w:rPr>
          <w:rFonts w:ascii="Times New Roman" w:cs="Times New Roman" w:eastAsia="Times New Roman" w:hAnsi="Times New Roman"/>
          <w:color w:val="000000"/>
          <w:sz w:val="19"/>
          <w:szCs w:val="19"/>
        </w:rPr>
        <w:t xml:space="preserve">21. Miller, J.P., Taori, R., Raghunathan, A., et al., 2021. Accuracy on the line: On the strong correlation between out-of-distribution and in-distribution generalization. In: Proceedings of the 38th International Conference on Machine Learning (ICML 2021), PMLR 139, pp. 7721-7735. </w:t>
      </w:r>
      <w:hyperlink w:history="1" r:id="rIdscnkshilwyd2uidvtg1v0">
        <w:r>
          <w:rPr>
            <w:rFonts w:ascii="Times New Roman" w:cs="Times New Roman" w:eastAsia="Times New Roman" w:hAnsi="Times New Roman"/>
            <w:color w:val="28598A"/>
            <w:sz w:val="19"/>
            <w:szCs w:val="19"/>
            <w:u w:val="single" w:color="28598A"/>
          </w:rPr>
          <w:t xml:space="preserve">https://arxiv.org/abs/2107.04649</w:t>
        </w:r>
      </w:hyperlink>
    </w:p>
    <w:p>
      <w:pPr>
        <w:spacing w:after="70" w:line="250"/>
        <w:ind w:left="360" w:hanging="360"/>
        <w:jc w:val="left"/>
      </w:pPr>
      <w:r>
        <w:rPr>
          <w:rFonts w:ascii="Times New Roman" w:cs="Times New Roman" w:eastAsia="Times New Roman" w:hAnsi="Times New Roman"/>
          <w:color w:val="000000"/>
          <w:sz w:val="19"/>
          <w:szCs w:val="19"/>
        </w:rPr>
        <w:t xml:space="preserve">22. Fang, A., Ilharco, G., Wortsman, M., et al., 2022. Data determines distributional robustness in contrastive language image pre-training (CLIP). In: Proceedings of the 39th International Conference on Machine Learning (ICML 2022), PMLR 162, pp. 6216-6234. </w:t>
      </w:r>
      <w:hyperlink w:history="1" r:id="rIdj6ipoioayycircmaqqhcz">
        <w:r>
          <w:rPr>
            <w:rFonts w:ascii="Times New Roman" w:cs="Times New Roman" w:eastAsia="Times New Roman" w:hAnsi="Times New Roman"/>
            <w:color w:val="28598A"/>
            <w:sz w:val="19"/>
            <w:szCs w:val="19"/>
            <w:u w:val="single" w:color="28598A"/>
          </w:rPr>
          <w:t xml:space="preserve">https://proceedings.mlr.press/v162/fang22a.html</w:t>
        </w:r>
      </w:hyperlink>
    </w:p>
    <w:p>
      <w:pPr>
        <w:spacing w:after="70" w:line="250"/>
        <w:ind w:left="360" w:hanging="360"/>
        <w:jc w:val="left"/>
      </w:pPr>
      <w:r>
        <w:rPr>
          <w:rFonts w:ascii="Times New Roman" w:cs="Times New Roman" w:eastAsia="Times New Roman" w:hAnsi="Times New Roman"/>
          <w:color w:val="000000"/>
          <w:sz w:val="19"/>
          <w:szCs w:val="19"/>
        </w:rPr>
        <w:t xml:space="preserve">23. Simpson, E.H., 1951. The interpretation of interaction in contingency tables. Journal of the Royal Statistical Society Series B: Statistical Methodology 13(2), 238-241. </w:t>
      </w:r>
      <w:hyperlink w:history="1" r:id="rId-lws82xuvuaw-ahuziswd">
        <w:r>
          <w:rPr>
            <w:rFonts w:ascii="Times New Roman" w:cs="Times New Roman" w:eastAsia="Times New Roman" w:hAnsi="Times New Roman"/>
            <w:color w:val="28598A"/>
            <w:sz w:val="19"/>
            <w:szCs w:val="19"/>
            <w:u w:val="single" w:color="28598A"/>
          </w:rPr>
          <w:t xml:space="preserve">https://doi.org/10.1111/j.2517-6161.1951.tb00088.x</w:t>
        </w:r>
      </w:hyperlink>
    </w:p>
    <w:p>
      <w:pPr>
        <w:spacing w:after="70" w:line="250"/>
        <w:ind w:left="360" w:hanging="360"/>
        <w:jc w:val="left"/>
      </w:pPr>
      <w:r>
        <w:rPr>
          <w:rFonts w:ascii="Times New Roman" w:cs="Times New Roman" w:eastAsia="Times New Roman" w:hAnsi="Times New Roman"/>
          <w:color w:val="000000"/>
          <w:sz w:val="19"/>
          <w:szCs w:val="19"/>
        </w:rPr>
        <w:t xml:space="preserve">24. Kievit, R.A., Frankenhuis, W.E., Waldorp, L.J., et al., 2013. Simpson's paradox in psychological science: A practical guide. Frontiers in Psychology 4, 513. </w:t>
      </w:r>
      <w:hyperlink w:history="1" r:id="rId_uv3xuujgjjsdsh7uo74v">
        <w:r>
          <w:rPr>
            <w:rFonts w:ascii="Times New Roman" w:cs="Times New Roman" w:eastAsia="Times New Roman" w:hAnsi="Times New Roman"/>
            <w:color w:val="28598A"/>
            <w:sz w:val="19"/>
            <w:szCs w:val="19"/>
            <w:u w:val="single" w:color="28598A"/>
          </w:rPr>
          <w:t xml:space="preserve">https://doi.org/10.3389/fpsyg.2013.00513</w:t>
        </w:r>
      </w:hyperlink>
    </w:p>
    <w:p>
      <w:pPr>
        <w:spacing w:after="70" w:line="250"/>
        <w:ind w:left="360" w:hanging="360"/>
        <w:jc w:val="left"/>
      </w:pPr>
      <w:r>
        <w:rPr>
          <w:rFonts w:ascii="Times New Roman" w:cs="Times New Roman" w:eastAsia="Times New Roman" w:hAnsi="Times New Roman"/>
          <w:color w:val="000000"/>
          <w:sz w:val="19"/>
          <w:szCs w:val="19"/>
        </w:rPr>
        <w:t xml:space="preserve">25. Lucho, S., Naemi, R., Castañeda, B., Treuillet, S., 2024. Can deep learning wound segmentation algorithms developed for a dataset be effective for another dataset? A specific focus on diabetic foot ulcers. IEEE Access 12, 173824-173835. </w:t>
      </w:r>
      <w:hyperlink w:history="1" r:id="rId3sn7vitq18bhcrxiqnhd5">
        <w:r>
          <w:rPr>
            <w:rFonts w:ascii="Times New Roman" w:cs="Times New Roman" w:eastAsia="Times New Roman" w:hAnsi="Times New Roman"/>
            <w:color w:val="28598A"/>
            <w:sz w:val="19"/>
            <w:szCs w:val="19"/>
            <w:u w:val="single" w:color="28598A"/>
          </w:rPr>
          <w:t xml:space="preserve">https://doi.org/10.1109/ACCESS.2024.3502467</w:t>
        </w:r>
      </w:hyperlink>
    </w:p>
    <w:p>
      <w:pPr>
        <w:spacing w:after="70" w:line="250"/>
        <w:ind w:left="360" w:hanging="360"/>
        <w:jc w:val="left"/>
      </w:pPr>
      <w:r>
        <w:rPr>
          <w:rFonts w:ascii="Times New Roman" w:cs="Times New Roman" w:eastAsia="Times New Roman" w:hAnsi="Times New Roman"/>
          <w:color w:val="000000"/>
          <w:sz w:val="19"/>
          <w:szCs w:val="19"/>
        </w:rPr>
        <w:t xml:space="preserve">26. Benfatah, A., 2026. Do diabetic foot ulcer segmentation models generalize? A cross-dataset benchmark of CNN and transformer architectures. arXiv preprint. </w:t>
      </w:r>
      <w:hyperlink w:history="1" r:id="rIdrazdks4gq4xtbhqjtytqf">
        <w:r>
          <w:rPr>
            <w:rFonts w:ascii="Times New Roman" w:cs="Times New Roman" w:eastAsia="Times New Roman" w:hAnsi="Times New Roman"/>
            <w:color w:val="28598A"/>
            <w:sz w:val="19"/>
            <w:szCs w:val="19"/>
            <w:u w:val="single" w:color="28598A"/>
          </w:rPr>
          <w:t xml:space="preserve">https://arxiv.org/abs/2607.02555</w:t>
        </w:r>
      </w:hyperlink>
    </w:p>
    <w:p>
      <w:pPr>
        <w:spacing w:after="70" w:line="250"/>
        <w:ind w:left="360" w:hanging="360"/>
        <w:jc w:val="left"/>
      </w:pPr>
      <w:r>
        <w:rPr>
          <w:rFonts w:ascii="Times New Roman" w:cs="Times New Roman" w:eastAsia="Times New Roman" w:hAnsi="Times New Roman"/>
          <w:color w:val="000000"/>
          <w:sz w:val="19"/>
          <w:szCs w:val="19"/>
        </w:rPr>
        <w:t xml:space="preserve">27. Medetec, 2014. Medetec wound database: medical image databases. Web resource, accessed 8 October 2026. </w:t>
      </w:r>
      <w:hyperlink w:history="1" r:id="rIdvcqhwrxim1izfi7vcn-jv">
        <w:r>
          <w:rPr>
            <w:rFonts w:ascii="Times New Roman" w:cs="Times New Roman" w:eastAsia="Times New Roman" w:hAnsi="Times New Roman"/>
            <w:color w:val="28598A"/>
            <w:sz w:val="19"/>
            <w:szCs w:val="19"/>
            <w:u w:val="single" w:color="28598A"/>
          </w:rPr>
          <w:t xml:space="preserve">http://www.medetec.co.uk/files/medetec-image-databases.html</w:t>
        </w:r>
      </w:hyperlink>
    </w:p>
    <w:p>
      <w:pPr>
        <w:spacing w:after="70" w:line="250"/>
        <w:ind w:left="360" w:hanging="360"/>
        <w:jc w:val="left"/>
      </w:pPr>
      <w:r>
        <w:rPr>
          <w:rFonts w:ascii="Times New Roman" w:cs="Times New Roman" w:eastAsia="Times New Roman" w:hAnsi="Times New Roman"/>
          <w:color w:val="000000"/>
          <w:sz w:val="19"/>
          <w:szCs w:val="19"/>
        </w:rPr>
        <w:t xml:space="preserve">28. Sanchez, K., Hinojosa, C., Mieles, O., Zhao, C., Ghanem, B., Arguello, H., 2024. CO2Wounds-V2: Extended chronic wounds dataset from leprosy patients. arXiv preprint arXiv:2408.10827. </w:t>
      </w:r>
      <w:hyperlink w:history="1" r:id="rIdl3bnbhkjtnl1ro8hoiaor">
        <w:r>
          <w:rPr>
            <w:rFonts w:ascii="Times New Roman" w:cs="Times New Roman" w:eastAsia="Times New Roman" w:hAnsi="Times New Roman"/>
            <w:color w:val="28598A"/>
            <w:sz w:val="19"/>
            <w:szCs w:val="19"/>
            <w:u w:val="single" w:color="28598A"/>
          </w:rPr>
          <w:t xml:space="preserve">https://doi.org/10.48550/arXiv.2408.10827</w:t>
        </w:r>
      </w:hyperlink>
    </w:p>
    <w:p>
      <w:pPr>
        <w:spacing w:after="70" w:line="250"/>
        <w:ind w:left="360" w:hanging="360"/>
        <w:jc w:val="left"/>
      </w:pPr>
      <w:r>
        <w:rPr>
          <w:rFonts w:ascii="Times New Roman" w:cs="Times New Roman" w:eastAsia="Times New Roman" w:hAnsi="Times New Roman"/>
          <w:color w:val="000000"/>
          <w:sz w:val="19"/>
          <w:szCs w:val="19"/>
        </w:rPr>
        <w:t xml:space="preserve">29. Wang, C., Mahbod, A., Ellinger, I., Galdran, A., Gopalakrishnan, S., Niezgoda, J., Yu, Z., 2024. FUSeg: The Foot Ulcer Segmentation Challenge. Information 15(3), 140. </w:t>
      </w:r>
      <w:hyperlink w:history="1" r:id="rIdhdjjstcvjmw0ma7io9idz">
        <w:r>
          <w:rPr>
            <w:rFonts w:ascii="Times New Roman" w:cs="Times New Roman" w:eastAsia="Times New Roman" w:hAnsi="Times New Roman"/>
            <w:color w:val="28598A"/>
            <w:sz w:val="19"/>
            <w:szCs w:val="19"/>
            <w:u w:val="single" w:color="28598A"/>
          </w:rPr>
          <w:t xml:space="preserve">https://doi.org/10.3390/info15030140</w:t>
        </w:r>
      </w:hyperlink>
    </w:p>
    <w:p>
      <w:pPr>
        <w:spacing w:after="70" w:line="250"/>
        <w:ind w:left="360" w:hanging="360"/>
        <w:jc w:val="left"/>
      </w:pPr>
      <w:r>
        <w:rPr>
          <w:rFonts w:ascii="Times New Roman" w:cs="Times New Roman" w:eastAsia="Times New Roman" w:hAnsi="Times New Roman"/>
          <w:color w:val="000000"/>
          <w:sz w:val="19"/>
          <w:szCs w:val="19"/>
        </w:rPr>
        <w:t xml:space="preserve">30. Wang, C., Anisuzzaman, D.M., Williamson, V., et al., 2020. Fully automatic wound segmentation with deep convolutional neural networks. Scientific Reports 10, 21897. </w:t>
      </w:r>
      <w:hyperlink w:history="1" r:id="rIdcec8etb9bng2dugs9-e7b">
        <w:r>
          <w:rPr>
            <w:rFonts w:ascii="Times New Roman" w:cs="Times New Roman" w:eastAsia="Times New Roman" w:hAnsi="Times New Roman"/>
            <w:color w:val="28598A"/>
            <w:sz w:val="19"/>
            <w:szCs w:val="19"/>
            <w:u w:val="single" w:color="28598A"/>
          </w:rPr>
          <w:t xml:space="preserve">https://doi.org/10.1038/s41598-020-78799-w</w:t>
        </w:r>
      </w:hyperlink>
    </w:p>
    <w:p>
      <w:pPr>
        <w:spacing w:after="70" w:line="250"/>
        <w:ind w:left="360" w:hanging="360"/>
        <w:jc w:val="left"/>
      </w:pPr>
      <w:r>
        <w:rPr>
          <w:rFonts w:ascii="Times New Roman" w:cs="Times New Roman" w:eastAsia="Times New Roman" w:hAnsi="Times New Roman"/>
          <w:color w:val="000000"/>
          <w:sz w:val="19"/>
          <w:szCs w:val="19"/>
        </w:rPr>
        <w:t xml:space="preserve">31. Jha, D., Smedsrud, P.H., Riegler, M.A., Halvorsen, P., de Lange, T., Johansen, D., Johansen, H.D., 2020. Kvasir-SEG: A segmented polyp dataset. In: MultiMedia Modeling, MMM 2020. Lecture Notes in Computer Science 11962, pp. 451-462. </w:t>
      </w:r>
      <w:hyperlink w:history="1" r:id="rId0iquzibrhb5o5qadb3cno">
        <w:r>
          <w:rPr>
            <w:rFonts w:ascii="Times New Roman" w:cs="Times New Roman" w:eastAsia="Times New Roman" w:hAnsi="Times New Roman"/>
            <w:color w:val="28598A"/>
            <w:sz w:val="19"/>
            <w:szCs w:val="19"/>
            <w:u w:val="single" w:color="28598A"/>
          </w:rPr>
          <w:t xml:space="preserve">https://doi.org/10.1007/978-3-030-37734-2_37</w:t>
        </w:r>
      </w:hyperlink>
    </w:p>
    <w:p>
      <w:pPr>
        <w:spacing w:after="70" w:line="250"/>
        <w:ind w:left="360" w:hanging="360"/>
        <w:jc w:val="left"/>
      </w:pPr>
      <w:r>
        <w:rPr>
          <w:rFonts w:ascii="Times New Roman" w:cs="Times New Roman" w:eastAsia="Times New Roman" w:hAnsi="Times New Roman"/>
          <w:color w:val="000000"/>
          <w:sz w:val="19"/>
          <w:szCs w:val="19"/>
        </w:rPr>
        <w:t xml:space="preserve">32. Bernal, J., Sánchez, F.J., Fernández-Esparrach, G., Gil, D., Rodríguez, C., Vilariño, F., 2015. WM-DOVA maps for accurate polyp highlighting in colonoscopy: Validation vs. saliency maps from physicians. Computerized Medical Imaging and Graphics 43, 99-111. </w:t>
      </w:r>
      <w:hyperlink w:history="1" r:id="rIdava4xkriuitbt1j0_1n9n">
        <w:r>
          <w:rPr>
            <w:rFonts w:ascii="Times New Roman" w:cs="Times New Roman" w:eastAsia="Times New Roman" w:hAnsi="Times New Roman"/>
            <w:color w:val="28598A"/>
            <w:sz w:val="19"/>
            <w:szCs w:val="19"/>
            <w:u w:val="single" w:color="28598A"/>
          </w:rPr>
          <w:t xml:space="preserve">https://doi.org/10.1016/j.compmedimag.2015.02.007</w:t>
        </w:r>
      </w:hyperlink>
    </w:p>
    <w:p>
      <w:pPr>
        <w:spacing w:after="70" w:line="250"/>
        <w:ind w:left="360" w:hanging="360"/>
        <w:jc w:val="left"/>
      </w:pPr>
      <w:r>
        <w:rPr>
          <w:rFonts w:ascii="Times New Roman" w:cs="Times New Roman" w:eastAsia="Times New Roman" w:hAnsi="Times New Roman"/>
          <w:color w:val="000000"/>
          <w:sz w:val="19"/>
          <w:szCs w:val="19"/>
        </w:rPr>
        <w:t xml:space="preserve">33. Bernal, J., Sánchez, J., Vilariño, F., 2012. Towards automatic polyp detection with a polyp appearance model. Pattern Recognition 45(9), 3166-3182. </w:t>
      </w:r>
      <w:hyperlink w:history="1" r:id="rIdbjmvpntstiosk1iyshycl">
        <w:r>
          <w:rPr>
            <w:rFonts w:ascii="Times New Roman" w:cs="Times New Roman" w:eastAsia="Times New Roman" w:hAnsi="Times New Roman"/>
            <w:color w:val="28598A"/>
            <w:sz w:val="19"/>
            <w:szCs w:val="19"/>
            <w:u w:val="single" w:color="28598A"/>
          </w:rPr>
          <w:t xml:space="preserve">https://doi.org/10.1016/j.patcog.2012.03.002</w:t>
        </w:r>
      </w:hyperlink>
    </w:p>
    <w:p>
      <w:pPr>
        <w:spacing w:after="70" w:line="250"/>
        <w:ind w:left="360" w:hanging="360"/>
        <w:jc w:val="left"/>
      </w:pPr>
      <w:r>
        <w:rPr>
          <w:rFonts w:ascii="Times New Roman" w:cs="Times New Roman" w:eastAsia="Times New Roman" w:hAnsi="Times New Roman"/>
          <w:color w:val="000000"/>
          <w:sz w:val="19"/>
          <w:szCs w:val="19"/>
        </w:rPr>
        <w:t xml:space="preserve">34. Silva, J., Histace, A., Romain, O., Dray, X., Granado, B., 2014. Toward embedded detection of polyps in WCE images for early diagnosis of colorectal cancer. International Journal of Computer Assisted Radiology and Surgery 9(2), 283-293. </w:t>
      </w:r>
      <w:hyperlink w:history="1" r:id="rIdpnadn9zweu5miu6gmzty-">
        <w:r>
          <w:rPr>
            <w:rFonts w:ascii="Times New Roman" w:cs="Times New Roman" w:eastAsia="Times New Roman" w:hAnsi="Times New Roman"/>
            <w:color w:val="28598A"/>
            <w:sz w:val="19"/>
            <w:szCs w:val="19"/>
            <w:u w:val="single" w:color="28598A"/>
          </w:rPr>
          <w:t xml:space="preserve">https://doi.org/10.1007/s11548-013-0926-3</w:t>
        </w:r>
      </w:hyperlink>
    </w:p>
    <w:p>
      <w:pPr>
        <w:spacing w:after="70" w:line="250"/>
        <w:ind w:left="360" w:hanging="360"/>
        <w:jc w:val="left"/>
      </w:pPr>
      <w:r>
        <w:rPr>
          <w:rFonts w:ascii="Times New Roman" w:cs="Times New Roman" w:eastAsia="Times New Roman" w:hAnsi="Times New Roman"/>
          <w:color w:val="000000"/>
          <w:sz w:val="19"/>
          <w:szCs w:val="19"/>
        </w:rPr>
        <w:t xml:space="preserve">35. Mendonça, T., Ferreira, P.M., Marques, J.S., Marçal, A.R.S., Rozeira, J., 2013. PH2: A dermoscopic image database for research and benchmarking. In: 2013 35th Annual International Conference of the IEEE Engineering in Medicine and Biology Society (EMBC), pp. 5437-5440. </w:t>
      </w:r>
      <w:hyperlink w:history="1" r:id="rId5_t51xwdtmgarwjekjuus">
        <w:r>
          <w:rPr>
            <w:rFonts w:ascii="Times New Roman" w:cs="Times New Roman" w:eastAsia="Times New Roman" w:hAnsi="Times New Roman"/>
            <w:color w:val="28598A"/>
            <w:sz w:val="19"/>
            <w:szCs w:val="19"/>
            <w:u w:val="single" w:color="28598A"/>
          </w:rPr>
          <w:t xml:space="preserve">https://doi.org/10.1109/EMBC.2013.6610779</w:t>
        </w:r>
      </w:hyperlink>
    </w:p>
    <w:p>
      <w:pPr>
        <w:spacing w:after="70" w:line="250"/>
        <w:ind w:left="360" w:hanging="360"/>
        <w:jc w:val="left"/>
      </w:pPr>
      <w:r>
        <w:rPr>
          <w:rFonts w:ascii="Times New Roman" w:cs="Times New Roman" w:eastAsia="Times New Roman" w:hAnsi="Times New Roman"/>
          <w:color w:val="000000"/>
          <w:sz w:val="19"/>
          <w:szCs w:val="19"/>
        </w:rPr>
        <w:t xml:space="preserve">36. Gong, H., Chen, G., Wang, R., et al., 2021. Multi-task learning for thyroid nodule segmentation with thyroid region prior. In: 2021 IEEE 18th International Symposium on Biomedical Imaging (ISBI), pp. 257-261. </w:t>
      </w:r>
      <w:hyperlink w:history="1" r:id="rIdobnvkq6tp460dvqv5fqz9">
        <w:r>
          <w:rPr>
            <w:rFonts w:ascii="Times New Roman" w:cs="Times New Roman" w:eastAsia="Times New Roman" w:hAnsi="Times New Roman"/>
            <w:color w:val="28598A"/>
            <w:sz w:val="19"/>
            <w:szCs w:val="19"/>
            <w:u w:val="single" w:color="28598A"/>
          </w:rPr>
          <w:t xml:space="preserve">https://doi.org/10.1109/ISBI48211.2021.9434087</w:t>
        </w:r>
      </w:hyperlink>
    </w:p>
    <w:p>
      <w:pPr>
        <w:spacing w:after="70" w:line="250"/>
        <w:ind w:left="360" w:hanging="360"/>
        <w:jc w:val="left"/>
      </w:pPr>
      <w:r>
        <w:rPr>
          <w:rFonts w:ascii="Times New Roman" w:cs="Times New Roman" w:eastAsia="Times New Roman" w:hAnsi="Times New Roman"/>
          <w:color w:val="000000"/>
          <w:sz w:val="19"/>
          <w:szCs w:val="19"/>
        </w:rPr>
        <w:t xml:space="preserve">37. Iakubovskii, P., 2019. Segmentation Models Pytorch. GitHub repository. </w:t>
      </w:r>
      <w:hyperlink w:history="1" r:id="rIdhnqmdz6cdll2fwb7xwq9x">
        <w:r>
          <w:rPr>
            <w:rFonts w:ascii="Times New Roman" w:cs="Times New Roman" w:eastAsia="Times New Roman" w:hAnsi="Times New Roman"/>
            <w:color w:val="28598A"/>
            <w:sz w:val="19"/>
            <w:szCs w:val="19"/>
            <w:u w:val="single" w:color="28598A"/>
          </w:rPr>
          <w:t xml:space="preserve">https://github.com/qubvel-org/segmentation_models.pytorch</w:t>
        </w:r>
      </w:hyperlink>
    </w:p>
    <w:p>
      <w:pPr>
        <w:spacing w:after="70" w:line="250"/>
        <w:ind w:left="360" w:hanging="360"/>
        <w:jc w:val="left"/>
      </w:pPr>
      <w:r>
        <w:rPr>
          <w:rFonts w:ascii="Times New Roman" w:cs="Times New Roman" w:eastAsia="Times New Roman" w:hAnsi="Times New Roman"/>
          <w:color w:val="000000"/>
          <w:sz w:val="19"/>
          <w:szCs w:val="19"/>
        </w:rPr>
        <w:t xml:space="preserve">38. Ronneberger, O., Fischer, P., Brox, T., 2015. U-Net: Convolutional networks for biomedical image segmentation. In: Medical Image Computing and Computer-Assisted Intervention, MICCAI 2015. Lecture Notes in Computer Science 9351, pp. 234-241. </w:t>
      </w:r>
      <w:hyperlink w:history="1" r:id="rId-i7lca9zmqzu3yv8rljjg">
        <w:r>
          <w:rPr>
            <w:rFonts w:ascii="Times New Roman" w:cs="Times New Roman" w:eastAsia="Times New Roman" w:hAnsi="Times New Roman"/>
            <w:color w:val="28598A"/>
            <w:sz w:val="19"/>
            <w:szCs w:val="19"/>
            <w:u w:val="single" w:color="28598A"/>
          </w:rPr>
          <w:t xml:space="preserve">https://doi.org/10.1007/978-3-319-24574-4_28</w:t>
        </w:r>
      </w:hyperlink>
    </w:p>
    <w:p>
      <w:pPr>
        <w:spacing w:after="70" w:line="250"/>
        <w:ind w:left="360" w:hanging="360"/>
        <w:jc w:val="left"/>
      </w:pPr>
      <w:r>
        <w:rPr>
          <w:rFonts w:ascii="Times New Roman" w:cs="Times New Roman" w:eastAsia="Times New Roman" w:hAnsi="Times New Roman"/>
          <w:color w:val="000000"/>
          <w:sz w:val="19"/>
          <w:szCs w:val="19"/>
        </w:rPr>
        <w:t xml:space="preserve">39. Zhou, Z., Siddiquee, M.M.R., Tajbakhsh, N., Liang, J., 2018. UNet++: A nested U-Net architecture for medical image segmentation. In: Deep Learning in Medical Image Analysis and Multimodal Learning for Clinical Decision Support. Lecture Notes in Computer Science 11045, pp. 3-11. </w:t>
      </w:r>
      <w:hyperlink w:history="1" r:id="rId03mrv1m_xbabd13vendqn">
        <w:r>
          <w:rPr>
            <w:rFonts w:ascii="Times New Roman" w:cs="Times New Roman" w:eastAsia="Times New Roman" w:hAnsi="Times New Roman"/>
            <w:color w:val="28598A"/>
            <w:sz w:val="19"/>
            <w:szCs w:val="19"/>
            <w:u w:val="single" w:color="28598A"/>
          </w:rPr>
          <w:t xml:space="preserve">https://doi.org/10.1007/978-3-030-00889-5_1</w:t>
        </w:r>
      </w:hyperlink>
    </w:p>
    <w:p>
      <w:pPr>
        <w:spacing w:after="70" w:line="250"/>
        <w:ind w:left="360" w:hanging="360"/>
        <w:jc w:val="left"/>
      </w:pPr>
      <w:r>
        <w:rPr>
          <w:rFonts w:ascii="Times New Roman" w:cs="Times New Roman" w:eastAsia="Times New Roman" w:hAnsi="Times New Roman"/>
          <w:color w:val="000000"/>
          <w:sz w:val="19"/>
          <w:szCs w:val="19"/>
        </w:rPr>
        <w:t xml:space="preserve">40. Chen, L.-C., Zhu, Y., Papandreou, G., Schroff, F., Adam, H., 2018. Encoder-decoder with atrous separable convolution for semantic image segmentation. In: Computer Vision, ECCV 2018. Lecture Notes in Computer Science 11211, pp. 833-851. </w:t>
      </w:r>
      <w:hyperlink w:history="1" r:id="rIdygi3eb-przh7xz0sgx_bt">
        <w:r>
          <w:rPr>
            <w:rFonts w:ascii="Times New Roman" w:cs="Times New Roman" w:eastAsia="Times New Roman" w:hAnsi="Times New Roman"/>
            <w:color w:val="28598A"/>
            <w:sz w:val="19"/>
            <w:szCs w:val="19"/>
            <w:u w:val="single" w:color="28598A"/>
          </w:rPr>
          <w:t xml:space="preserve">https://doi.org/10.1007/978-3-030-01234-2_49</w:t>
        </w:r>
      </w:hyperlink>
    </w:p>
    <w:p>
      <w:pPr>
        <w:spacing w:after="70" w:line="250"/>
        <w:ind w:left="360" w:hanging="360"/>
        <w:jc w:val="left"/>
      </w:pPr>
      <w:r>
        <w:rPr>
          <w:rFonts w:ascii="Times New Roman" w:cs="Times New Roman" w:eastAsia="Times New Roman" w:hAnsi="Times New Roman"/>
          <w:color w:val="000000"/>
          <w:sz w:val="19"/>
          <w:szCs w:val="19"/>
        </w:rPr>
        <w:t xml:space="preserve">41. Lin, T.-Y., Dollár, P., Girshick, R., He, K., Hariharan, B., Belongie, S., 2017. Feature pyramid networks for object detection. In: Proceedings of the IEEE Conference on Computer Vision and Pattern Recognition (CVPR), pp. 936-944. </w:t>
      </w:r>
      <w:hyperlink w:history="1" r:id="rIdbtggunil03an7g34apupi">
        <w:r>
          <w:rPr>
            <w:rFonts w:ascii="Times New Roman" w:cs="Times New Roman" w:eastAsia="Times New Roman" w:hAnsi="Times New Roman"/>
            <w:color w:val="28598A"/>
            <w:sz w:val="19"/>
            <w:szCs w:val="19"/>
            <w:u w:val="single" w:color="28598A"/>
          </w:rPr>
          <w:t xml:space="preserve">https://doi.org/10.1109/CVPR.2017.106</w:t>
        </w:r>
      </w:hyperlink>
    </w:p>
    <w:p>
      <w:pPr>
        <w:spacing w:after="70" w:line="250"/>
        <w:ind w:left="360" w:hanging="360"/>
        <w:jc w:val="left"/>
      </w:pPr>
      <w:r>
        <w:rPr>
          <w:rFonts w:ascii="Times New Roman" w:cs="Times New Roman" w:eastAsia="Times New Roman" w:hAnsi="Times New Roman"/>
          <w:color w:val="000000"/>
          <w:sz w:val="19"/>
          <w:szCs w:val="19"/>
        </w:rPr>
        <w:t xml:space="preserve">42. Zhao, H., Shi, J., Qi, X., Wang, X., Jia, J., 2017. Pyramid scene parsing network. In: Proceedings of the IEEE Conference on Computer Vision and Pattern Recognition (CVPR), pp. 6230-6239. </w:t>
      </w:r>
      <w:hyperlink w:history="1" r:id="rId3n-ng4nehtkivhz6jqogb">
        <w:r>
          <w:rPr>
            <w:rFonts w:ascii="Times New Roman" w:cs="Times New Roman" w:eastAsia="Times New Roman" w:hAnsi="Times New Roman"/>
            <w:color w:val="28598A"/>
            <w:sz w:val="19"/>
            <w:szCs w:val="19"/>
            <w:u w:val="single" w:color="28598A"/>
          </w:rPr>
          <w:t xml:space="preserve">https://doi.org/10.1109/CVPR.2017.660</w:t>
        </w:r>
      </w:hyperlink>
    </w:p>
    <w:p>
      <w:pPr>
        <w:spacing w:after="70" w:line="250"/>
        <w:ind w:left="360" w:hanging="360"/>
        <w:jc w:val="left"/>
      </w:pPr>
      <w:r>
        <w:rPr>
          <w:rFonts w:ascii="Times New Roman" w:cs="Times New Roman" w:eastAsia="Times New Roman" w:hAnsi="Times New Roman"/>
          <w:color w:val="000000"/>
          <w:sz w:val="19"/>
          <w:szCs w:val="19"/>
        </w:rPr>
        <w:t xml:space="preserve">43. Chaurasia, A., Culurciello, E., 2017. LinkNet: Exploiting encoder representations for efficient semantic segmentation. In: 2017 IEEE Visual Communications and Image Processing (VCIP), pp. 1-4. </w:t>
      </w:r>
      <w:hyperlink w:history="1" r:id="rIddblw6kq222gq8nn5catgo">
        <w:r>
          <w:rPr>
            <w:rFonts w:ascii="Times New Roman" w:cs="Times New Roman" w:eastAsia="Times New Roman" w:hAnsi="Times New Roman"/>
            <w:color w:val="28598A"/>
            <w:sz w:val="19"/>
            <w:szCs w:val="19"/>
            <w:u w:val="single" w:color="28598A"/>
          </w:rPr>
          <w:t xml:space="preserve">https://doi.org/10.1109/VCIP.2017.8305148</w:t>
        </w:r>
      </w:hyperlink>
    </w:p>
    <w:p>
      <w:pPr>
        <w:spacing w:after="70" w:line="250"/>
        <w:ind w:left="360" w:hanging="360"/>
        <w:jc w:val="left"/>
      </w:pPr>
      <w:r>
        <w:rPr>
          <w:rFonts w:ascii="Times New Roman" w:cs="Times New Roman" w:eastAsia="Times New Roman" w:hAnsi="Times New Roman"/>
          <w:color w:val="000000"/>
          <w:sz w:val="19"/>
          <w:szCs w:val="19"/>
        </w:rPr>
        <w:t xml:space="preserve">44. Fan, T., Wang, G., Li, Y., Wang, H., 2020. MA-Net: A multi-scale attention network for liver and tumor segmentation. IEEE Access 8, 179656-179665. </w:t>
      </w:r>
      <w:hyperlink w:history="1" r:id="rIdxxwvvphtw8zjucefqvnds">
        <w:r>
          <w:rPr>
            <w:rFonts w:ascii="Times New Roman" w:cs="Times New Roman" w:eastAsia="Times New Roman" w:hAnsi="Times New Roman"/>
            <w:color w:val="28598A"/>
            <w:sz w:val="19"/>
            <w:szCs w:val="19"/>
            <w:u w:val="single" w:color="28598A"/>
          </w:rPr>
          <w:t xml:space="preserve">https://doi.org/10.1109/ACCESS.2020.3025372</w:t>
        </w:r>
      </w:hyperlink>
    </w:p>
    <w:p>
      <w:pPr>
        <w:spacing w:after="70" w:line="250"/>
        <w:ind w:left="360" w:hanging="360"/>
        <w:jc w:val="left"/>
      </w:pPr>
      <w:r>
        <w:rPr>
          <w:rFonts w:ascii="Times New Roman" w:cs="Times New Roman" w:eastAsia="Times New Roman" w:hAnsi="Times New Roman"/>
          <w:color w:val="000000"/>
          <w:sz w:val="19"/>
          <w:szCs w:val="19"/>
        </w:rPr>
        <w:t xml:space="preserve">45. He, K., Zhang, X., Ren, S., Sun, J., 2016. Deep residual learning for image recognition. In: Proceedings of the IEEE Conference on Computer Vision and Pattern Recognition (CVPR), pp. 770-778. </w:t>
      </w:r>
      <w:hyperlink w:history="1" r:id="rId9gfh7mask3wtkaxeitgda">
        <w:r>
          <w:rPr>
            <w:rFonts w:ascii="Times New Roman" w:cs="Times New Roman" w:eastAsia="Times New Roman" w:hAnsi="Times New Roman"/>
            <w:color w:val="28598A"/>
            <w:sz w:val="19"/>
            <w:szCs w:val="19"/>
            <w:u w:val="single" w:color="28598A"/>
          </w:rPr>
          <w:t xml:space="preserve">https://doi.org/10.1109/CVPR.2016.90</w:t>
        </w:r>
      </w:hyperlink>
    </w:p>
    <w:p>
      <w:pPr>
        <w:spacing w:after="70" w:line="250"/>
        <w:ind w:left="360" w:hanging="360"/>
        <w:jc w:val="left"/>
      </w:pPr>
      <w:r>
        <w:rPr>
          <w:rFonts w:ascii="Times New Roman" w:cs="Times New Roman" w:eastAsia="Times New Roman" w:hAnsi="Times New Roman"/>
          <w:color w:val="000000"/>
          <w:sz w:val="19"/>
          <w:szCs w:val="19"/>
        </w:rPr>
        <w:t xml:space="preserve">46. Sandler, M., Howard, A., Zhu, M., Zhmoginov, A., Chen, L.-C., 2018. MobileNetV2: Inverted residuals and linear bottlenecks. In: Proceedings of the IEEE/CVF Conference on Computer Vision and Pattern Recognition (CVPR), pp. 4510-4520. </w:t>
      </w:r>
      <w:hyperlink w:history="1" r:id="rIdrpqteiqpvmq7mwizvrbtq">
        <w:r>
          <w:rPr>
            <w:rFonts w:ascii="Times New Roman" w:cs="Times New Roman" w:eastAsia="Times New Roman" w:hAnsi="Times New Roman"/>
            <w:color w:val="28598A"/>
            <w:sz w:val="19"/>
            <w:szCs w:val="19"/>
            <w:u w:val="single" w:color="28598A"/>
          </w:rPr>
          <w:t xml:space="preserve">https://doi.org/10.1109/CVPR.2018.00474</w:t>
        </w:r>
      </w:hyperlink>
    </w:p>
    <w:p>
      <w:pPr>
        <w:spacing w:after="70" w:line="250"/>
        <w:ind w:left="360" w:hanging="360"/>
        <w:jc w:val="left"/>
      </w:pPr>
      <w:r>
        <w:rPr>
          <w:rFonts w:ascii="Times New Roman" w:cs="Times New Roman" w:eastAsia="Times New Roman" w:hAnsi="Times New Roman"/>
          <w:color w:val="000000"/>
          <w:sz w:val="19"/>
          <w:szCs w:val="19"/>
        </w:rPr>
        <w:t xml:space="preserve">47. Tan, M., Le, Q., 2019. EfficientNet: Rethinking model scaling for convolutional neural networks. In: Proceedings of the 36th International Conference on Machine Learning (ICML 2019), PMLR 97, pp. 6105-6114. </w:t>
      </w:r>
      <w:hyperlink w:history="1" r:id="rIdge233wiryefjo2f_g1i0i">
        <w:r>
          <w:rPr>
            <w:rFonts w:ascii="Times New Roman" w:cs="Times New Roman" w:eastAsia="Times New Roman" w:hAnsi="Times New Roman"/>
            <w:color w:val="28598A"/>
            <w:sz w:val="19"/>
            <w:szCs w:val="19"/>
            <w:u w:val="single" w:color="28598A"/>
          </w:rPr>
          <w:t xml:space="preserve">https://arxiv.org/abs/1905.11946</w:t>
        </w:r>
      </w:hyperlink>
    </w:p>
    <w:p>
      <w:pPr>
        <w:spacing w:after="70" w:line="250"/>
        <w:ind w:left="360" w:hanging="360"/>
        <w:jc w:val="left"/>
      </w:pPr>
      <w:r>
        <w:rPr>
          <w:rFonts w:ascii="Times New Roman" w:cs="Times New Roman" w:eastAsia="Times New Roman" w:hAnsi="Times New Roman"/>
          <w:color w:val="000000"/>
          <w:sz w:val="19"/>
          <w:szCs w:val="19"/>
        </w:rPr>
        <w:t xml:space="preserve">48. Xie, E., Wang, W., Yu, Z., Anandkumar, A., Alvarez, J.M., Luo, P., 2021. SegFormer: Simple and efficient design for semantic segmentation with transformers. In: Advances in Neural Information Processing Systems 34 (NeurIPS 2021), pp. 12077-12090. </w:t>
      </w:r>
      <w:hyperlink w:history="1" r:id="rIdpamyhjkaucjqmkcysxobp">
        <w:r>
          <w:rPr>
            <w:rFonts w:ascii="Times New Roman" w:cs="Times New Roman" w:eastAsia="Times New Roman" w:hAnsi="Times New Roman"/>
            <w:color w:val="28598A"/>
            <w:sz w:val="19"/>
            <w:szCs w:val="19"/>
            <w:u w:val="single" w:color="28598A"/>
          </w:rPr>
          <w:t xml:space="preserve">https://arxiv.org/abs/2105.15203</w:t>
        </w:r>
      </w:hyperlink>
    </w:p>
    <w:p>
      <w:pPr>
        <w:spacing w:after="70" w:line="250"/>
        <w:ind w:left="360" w:hanging="360"/>
        <w:jc w:val="left"/>
      </w:pPr>
      <w:r>
        <w:rPr>
          <w:rFonts w:ascii="Times New Roman" w:cs="Times New Roman" w:eastAsia="Times New Roman" w:hAnsi="Times New Roman"/>
          <w:color w:val="000000"/>
          <w:sz w:val="19"/>
          <w:szCs w:val="19"/>
        </w:rPr>
        <w:t xml:space="preserve">49. Deng, J., Dong, W., Socher, R., et al., 2009. ImageNet: A large-scale hierarchical image database. In: 2009 IEEE Conference on Computer Vision and Pattern Recognition (CVPR), pp. 248-255. </w:t>
      </w:r>
      <w:hyperlink w:history="1" r:id="rIdlytdsqq8rz7v74ta8vwg4">
        <w:r>
          <w:rPr>
            <w:rFonts w:ascii="Times New Roman" w:cs="Times New Roman" w:eastAsia="Times New Roman" w:hAnsi="Times New Roman"/>
            <w:color w:val="28598A"/>
            <w:sz w:val="19"/>
            <w:szCs w:val="19"/>
            <w:u w:val="single" w:color="28598A"/>
          </w:rPr>
          <w:t xml:space="preserve">https://doi.org/10.1109/CVPR.2009.5206848</w:t>
        </w:r>
      </w:hyperlink>
    </w:p>
    <w:p>
      <w:pPr>
        <w:spacing w:after="70" w:line="250"/>
        <w:ind w:left="360" w:hanging="360"/>
        <w:jc w:val="left"/>
      </w:pPr>
      <w:r>
        <w:rPr>
          <w:rFonts w:ascii="Times New Roman" w:cs="Times New Roman" w:eastAsia="Times New Roman" w:hAnsi="Times New Roman"/>
          <w:color w:val="000000"/>
          <w:sz w:val="19"/>
          <w:szCs w:val="19"/>
        </w:rPr>
        <w:t xml:space="preserve">50. Isensee, F., Jaeger, P.F., Kohl, S.A.A., Petersen, J., Maier-Hein, K.H., 2021. nnU-Net: A self-configuring method for deep learning-based biomedical image segmentation. Nature Methods 18(2), 203-211. </w:t>
      </w:r>
      <w:hyperlink w:history="1" r:id="rIdoijef4vcfx2mihfqr0qku">
        <w:r>
          <w:rPr>
            <w:rFonts w:ascii="Times New Roman" w:cs="Times New Roman" w:eastAsia="Times New Roman" w:hAnsi="Times New Roman"/>
            <w:color w:val="28598A"/>
            <w:sz w:val="19"/>
            <w:szCs w:val="19"/>
            <w:u w:val="single" w:color="28598A"/>
          </w:rPr>
          <w:t xml:space="preserve">https://doi.org/10.1038/s41592-020-01008-z</w:t>
        </w:r>
      </w:hyperlink>
    </w:p>
    <w:p>
      <w:pPr>
        <w:spacing w:after="70" w:line="250"/>
        <w:ind w:left="360" w:hanging="360"/>
        <w:jc w:val="left"/>
      </w:pPr>
      <w:r>
        <w:rPr>
          <w:rFonts w:ascii="Times New Roman" w:cs="Times New Roman" w:eastAsia="Times New Roman" w:hAnsi="Times New Roman"/>
          <w:color w:val="000000"/>
          <w:sz w:val="19"/>
          <w:szCs w:val="19"/>
        </w:rPr>
        <w:t xml:space="preserve">51. Kirillov, A., Mintun, E., Ravi, N., et al., 2023. Segment anything. In: 2023 IEEE/CVF International Conference on Computer Vision (ICCV), pp. 3992-4003. </w:t>
      </w:r>
      <w:hyperlink w:history="1" r:id="rId7qugdhaerdrht1ofllfg-">
        <w:r>
          <w:rPr>
            <w:rFonts w:ascii="Times New Roman" w:cs="Times New Roman" w:eastAsia="Times New Roman" w:hAnsi="Times New Roman"/>
            <w:color w:val="28598A"/>
            <w:sz w:val="19"/>
            <w:szCs w:val="19"/>
            <w:u w:val="single" w:color="28598A"/>
          </w:rPr>
          <w:t xml:space="preserve">https://doi.org/10.1109/ICCV51070.2023.00371</w:t>
        </w:r>
      </w:hyperlink>
    </w:p>
    <w:p>
      <w:pPr>
        <w:spacing w:after="70" w:line="250"/>
        <w:ind w:left="360" w:hanging="360"/>
        <w:jc w:val="left"/>
      </w:pPr>
      <w:r>
        <w:rPr>
          <w:rFonts w:ascii="Times New Roman" w:cs="Times New Roman" w:eastAsia="Times New Roman" w:hAnsi="Times New Roman"/>
          <w:color w:val="000000"/>
          <w:sz w:val="19"/>
          <w:szCs w:val="19"/>
        </w:rPr>
        <w:t xml:space="preserve">52. Ma, J., He, Y., Li, F., et al., 2024. Segment anything in medical images. Nature Communications 15, 654. </w:t>
      </w:r>
      <w:hyperlink w:history="1" r:id="rIde57amntkb0yq4arqbbxnf">
        <w:r>
          <w:rPr>
            <w:rFonts w:ascii="Times New Roman" w:cs="Times New Roman" w:eastAsia="Times New Roman" w:hAnsi="Times New Roman"/>
            <w:color w:val="28598A"/>
            <w:sz w:val="19"/>
            <w:szCs w:val="19"/>
            <w:u w:val="single" w:color="28598A"/>
          </w:rPr>
          <w:t xml:space="preserve">https://doi.org/10.1038/s41467-024-44824-z</w:t>
        </w:r>
      </w:hyperlink>
    </w:p>
    <w:p>
      <w:pPr>
        <w:spacing w:after="70" w:line="250"/>
        <w:ind w:left="360" w:hanging="360"/>
        <w:jc w:val="left"/>
      </w:pPr>
      <w:r>
        <w:rPr>
          <w:rFonts w:ascii="Times New Roman" w:cs="Times New Roman" w:eastAsia="Times New Roman" w:hAnsi="Times New Roman"/>
          <w:color w:val="000000"/>
          <w:sz w:val="19"/>
          <w:szCs w:val="19"/>
        </w:rPr>
        <w:t xml:space="preserve">53. Islam, L., 2026. Surgical Vision ROS2: a ROS2 Humble pipeline for intraoperative wound assessment and variable-autonomy arm control. Research Square preprint. </w:t>
      </w:r>
      <w:hyperlink w:history="1" r:id="rId2y7lcqw3png7re-gmlhhp">
        <w:r>
          <w:rPr>
            <w:rFonts w:ascii="Times New Roman" w:cs="Times New Roman" w:eastAsia="Times New Roman" w:hAnsi="Times New Roman"/>
            <w:color w:val="28598A"/>
            <w:sz w:val="19"/>
            <w:szCs w:val="19"/>
            <w:u w:val="single" w:color="28598A"/>
          </w:rPr>
          <w:t xml:space="preserve">https://doi.org/10.21203/rs.3.rs-10362132/v1</w:t>
        </w:r>
      </w:hyperlink>
    </w:p>
    <w:p>
      <w:pPr>
        <w:spacing w:after="70" w:line="250"/>
        <w:ind w:left="360" w:hanging="360"/>
        <w:jc w:val="left"/>
      </w:pPr>
      <w:r>
        <w:rPr>
          <w:rFonts w:ascii="Times New Roman" w:cs="Times New Roman" w:eastAsia="Times New Roman" w:hAnsi="Times New Roman"/>
          <w:color w:val="000000"/>
          <w:sz w:val="19"/>
          <w:szCs w:val="19"/>
        </w:rPr>
        <w:t xml:space="preserve">54. Nikolov, S., Blackwell, S., Zverovitch, A., et al., 2018. Deep learning to achieve clinically applicable segmentation of head and neck anatomy for radiotherapy. arXiv preprint. </w:t>
      </w:r>
      <w:hyperlink w:history="1" r:id="rIdjg6fnrdu8nxy28wc9efqp">
        <w:r>
          <w:rPr>
            <w:rFonts w:ascii="Times New Roman" w:cs="Times New Roman" w:eastAsia="Times New Roman" w:hAnsi="Times New Roman"/>
            <w:color w:val="28598A"/>
            <w:sz w:val="19"/>
            <w:szCs w:val="19"/>
            <w:u w:val="single" w:color="28598A"/>
          </w:rPr>
          <w:t xml:space="preserve">https://arxiv.org/abs/1809.04430</w:t>
        </w:r>
      </w:hyperlink>
    </w:p>
    <w:p>
      <w:pPr>
        <w:spacing w:after="70" w:line="250"/>
        <w:ind w:left="360" w:hanging="360"/>
        <w:jc w:val="left"/>
      </w:pPr>
      <w:r>
        <w:rPr>
          <w:rFonts w:ascii="Times New Roman" w:cs="Times New Roman" w:eastAsia="Times New Roman" w:hAnsi="Times New Roman"/>
          <w:color w:val="000000"/>
          <w:sz w:val="19"/>
          <w:szCs w:val="19"/>
        </w:rPr>
        <w:t xml:space="preserve">55. Deo, Y., Jia, Y., Lassila, T., et al., 2025. Metrics that matter: Evaluating image quality metrics for medical image generation. arXiv preprint. </w:t>
      </w:r>
      <w:hyperlink w:history="1" r:id="rIdgwosbn2wcdo2ksbg5t0gj">
        <w:r>
          <w:rPr>
            <w:rFonts w:ascii="Times New Roman" w:cs="Times New Roman" w:eastAsia="Times New Roman" w:hAnsi="Times New Roman"/>
            <w:color w:val="28598A"/>
            <w:sz w:val="19"/>
            <w:szCs w:val="19"/>
            <w:u w:val="single" w:color="28598A"/>
          </w:rPr>
          <w:t xml:space="preserve">https://arxiv.org/abs/2505.07175</w:t>
        </w:r>
      </w:hyperlink>
    </w:p>
    <w:p>
      <w:pPr>
        <w:spacing w:after="70" w:line="250"/>
        <w:ind w:left="360" w:hanging="360"/>
        <w:jc w:val="left"/>
      </w:pPr>
      <w:r>
        <w:rPr>
          <w:rFonts w:ascii="Times New Roman" w:cs="Times New Roman" w:eastAsia="Times New Roman" w:hAnsi="Times New Roman"/>
          <w:color w:val="000000"/>
          <w:sz w:val="19"/>
          <w:szCs w:val="19"/>
        </w:rPr>
        <w:t xml:space="preserve">56. Wiesenfarth, M., Reinke, A., Landman, B.A., et al., 2021. Methods and open-source toolkit for analyzing and visualizing challenge results. Scientific Reports 11, 2369. </w:t>
      </w:r>
      <w:hyperlink w:history="1" r:id="rId1e_i70qgsdptvmr5oay_o">
        <w:r>
          <w:rPr>
            <w:rFonts w:ascii="Times New Roman" w:cs="Times New Roman" w:eastAsia="Times New Roman" w:hAnsi="Times New Roman"/>
            <w:color w:val="28598A"/>
            <w:sz w:val="19"/>
            <w:szCs w:val="19"/>
            <w:u w:val="single" w:color="28598A"/>
          </w:rPr>
          <w:t xml:space="preserve">https://doi.org/10.1038/s41598-021-82017-6</w:t>
        </w:r>
      </w:hyperlink>
    </w:p>
    <w:p>
      <w:pPr>
        <w:spacing w:after="70" w:line="250"/>
        <w:ind w:left="360" w:hanging="360"/>
        <w:jc w:val="left"/>
      </w:pPr>
      <w:r>
        <w:rPr>
          <w:rFonts w:ascii="Times New Roman" w:cs="Times New Roman" w:eastAsia="Times New Roman" w:hAnsi="Times New Roman"/>
          <w:color w:val="000000"/>
          <w:sz w:val="19"/>
          <w:szCs w:val="19"/>
        </w:rPr>
        <w:t xml:space="preserve">57. Christodoulou, E., Reinke, A., Houhou, R., et al., 2024. Confidence intervals uncovered: Are we ready for real-world medical imaging AI? In: Medical Image Computing and Computer Assisted Intervention, MICCAI 2024. Lecture Notes in Computer Science 15010, pp. 124-132. </w:t>
      </w:r>
      <w:hyperlink w:history="1" r:id="rId-wqz7_cwcyc141i_qjc5x">
        <w:r>
          <w:rPr>
            <w:rFonts w:ascii="Times New Roman" w:cs="Times New Roman" w:eastAsia="Times New Roman" w:hAnsi="Times New Roman"/>
            <w:color w:val="28598A"/>
            <w:sz w:val="19"/>
            <w:szCs w:val="19"/>
            <w:u w:val="single" w:color="28598A"/>
          </w:rPr>
          <w:t xml:space="preserve">https://doi.org/10.1007/978-3-031-72117-5_12</w:t>
        </w:r>
      </w:hyperlink>
    </w:p>
    <w:p>
      <w:pPr>
        <w:spacing w:after="70" w:line="250"/>
        <w:ind w:left="360" w:hanging="360"/>
        <w:jc w:val="left"/>
      </w:pPr>
      <w:r>
        <w:rPr>
          <w:rFonts w:ascii="Times New Roman" w:cs="Times New Roman" w:eastAsia="Times New Roman" w:hAnsi="Times New Roman"/>
          <w:color w:val="000000"/>
          <w:sz w:val="19"/>
          <w:szCs w:val="19"/>
        </w:rPr>
        <w:t xml:space="preserve">58. Tobin, J., Fong, R., Ray, A., Schneider, J., Zaremba, W., Abbeel, P., 2017. Domain randomization for transferring deep neural networks from simulation to the real world. In: 2017 IEEE/RSJ International Conference on Intelligent Robots and Systems (IROS), pp. 23-30. </w:t>
      </w:r>
      <w:hyperlink w:history="1" r:id="rIdulmewcb7ip5flpwtaguh9">
        <w:r>
          <w:rPr>
            <w:rFonts w:ascii="Times New Roman" w:cs="Times New Roman" w:eastAsia="Times New Roman" w:hAnsi="Times New Roman"/>
            <w:color w:val="28598A"/>
            <w:sz w:val="19"/>
            <w:szCs w:val="19"/>
            <w:u w:val="single" w:color="28598A"/>
          </w:rPr>
          <w:t xml:space="preserve">https://doi.org/10.1109/IROS.2017.8202133</w:t>
        </w:r>
      </w:hyperlink>
    </w:p>
    <w:p>
      <w:pPr>
        <w:spacing w:after="70" w:line="250"/>
        <w:ind w:left="360" w:hanging="360"/>
        <w:jc w:val="left"/>
      </w:pPr>
      <w:r>
        <w:rPr>
          <w:rFonts w:ascii="Times New Roman" w:cs="Times New Roman" w:eastAsia="Times New Roman" w:hAnsi="Times New Roman"/>
          <w:color w:val="000000"/>
          <w:sz w:val="19"/>
          <w:szCs w:val="19"/>
        </w:rPr>
        <w:t xml:space="preserve">59. Tremblay, J., Prakash, A., Acuna, D., et al., 2018. Training deep networks with synthetic data: Bridging the reality gap by domain randomization. In: IEEE/CVF Conference on Computer Vision and Pattern Recognition Workshops (CVPRW), pp. 969-977. </w:t>
      </w:r>
      <w:hyperlink w:history="1" r:id="rId0c9fcvt3mvxstndjbt8yk">
        <w:r>
          <w:rPr>
            <w:rFonts w:ascii="Times New Roman" w:cs="Times New Roman" w:eastAsia="Times New Roman" w:hAnsi="Times New Roman"/>
            <w:color w:val="28598A"/>
            <w:sz w:val="19"/>
            <w:szCs w:val="19"/>
            <w:u w:val="single" w:color="28598A"/>
          </w:rPr>
          <w:t xml:space="preserve">https://doi.org/10.1109/CVPRW.2018.00143</w:t>
        </w:r>
      </w:hyperlink>
    </w:p>
    <w:p>
      <w:pPr>
        <w:spacing w:after="70" w:line="250"/>
        <w:ind w:left="360" w:hanging="360"/>
        <w:jc w:val="left"/>
      </w:pPr>
      <w:r>
        <w:rPr>
          <w:rFonts w:ascii="Times New Roman" w:cs="Times New Roman" w:eastAsia="Times New Roman" w:hAnsi="Times New Roman"/>
          <w:color w:val="000000"/>
          <w:sz w:val="19"/>
          <w:szCs w:val="19"/>
        </w:rPr>
        <w:t xml:space="preserve">60. Prakash, A., Boochoon, S., Brophy, M., et al., 2019. Structured domain randomization: Bridging the reality gap by context-aware synthetic data. In: 2019 International Conference on Robotics and Automation (ICRA). </w:t>
      </w:r>
      <w:hyperlink w:history="1" r:id="rIdubbpwmi0tcre38_knruch">
        <w:r>
          <w:rPr>
            <w:rFonts w:ascii="Times New Roman" w:cs="Times New Roman" w:eastAsia="Times New Roman" w:hAnsi="Times New Roman"/>
            <w:color w:val="28598A"/>
            <w:sz w:val="19"/>
            <w:szCs w:val="19"/>
            <w:u w:val="single" w:color="28598A"/>
          </w:rPr>
          <w:t xml:space="preserve">https://doi.org/10.1109/ICRA.2019.8794443</w:t>
        </w:r>
      </w:hyperlink>
    </w:p>
    <w:p>
      <w:pPr>
        <w:spacing w:after="70" w:line="250"/>
        <w:ind w:left="360" w:hanging="360"/>
        <w:jc w:val="left"/>
      </w:pPr>
      <w:r>
        <w:rPr>
          <w:rFonts w:ascii="Times New Roman" w:cs="Times New Roman" w:eastAsia="Times New Roman" w:hAnsi="Times New Roman"/>
          <w:color w:val="000000"/>
          <w:sz w:val="19"/>
          <w:szCs w:val="19"/>
        </w:rPr>
        <w:t xml:space="preserve">61. Raina, V., Molchanova, N., Graziani, M., et al., 2023. Tackling bias in the Dice similarity coefficient: Introducing nDSC for white matter lesion segmentation. In: IEEE International Symposium on Biomedical Imaging (ISBI 2023), pp. 1-5. </w:t>
      </w:r>
      <w:hyperlink w:history="1" r:id="rIdnm7n_a6zyqn3hit-4kpy2">
        <w:r>
          <w:rPr>
            <w:rFonts w:ascii="Times New Roman" w:cs="Times New Roman" w:eastAsia="Times New Roman" w:hAnsi="Times New Roman"/>
            <w:color w:val="28598A"/>
            <w:sz w:val="19"/>
            <w:szCs w:val="19"/>
            <w:u w:val="single" w:color="28598A"/>
          </w:rPr>
          <w:t xml:space="preserve">https://arxiv.org/abs/2302.05432</w:t>
        </w:r>
      </w:hyperlink>
    </w:p>
    <w:p>
      <w:pPr>
        <w:spacing w:after="70" w:line="250"/>
        <w:ind w:left="360" w:hanging="360"/>
        <w:jc w:val="left"/>
      </w:pPr>
      <w:r>
        <w:rPr>
          <w:rFonts w:ascii="Times New Roman" w:cs="Times New Roman" w:eastAsia="Times New Roman" w:hAnsi="Times New Roman"/>
          <w:color w:val="000000"/>
          <w:sz w:val="19"/>
          <w:szCs w:val="19"/>
        </w:rPr>
        <w:t xml:space="preserve">62. Torralba, A., Efros, A.A., 2011. Unbiased look at dataset bias. In: Proceedings of the IEEE Conference on Computer Vision and Pattern Recognition (CVPR), pp. 1521-1528. </w:t>
      </w:r>
      <w:hyperlink w:history="1" r:id="rIdmr065nmvvzim0uexqhpbb">
        <w:r>
          <w:rPr>
            <w:rFonts w:ascii="Times New Roman" w:cs="Times New Roman" w:eastAsia="Times New Roman" w:hAnsi="Times New Roman"/>
            <w:color w:val="28598A"/>
            <w:sz w:val="19"/>
            <w:szCs w:val="19"/>
            <w:u w:val="single" w:color="28598A"/>
          </w:rPr>
          <w:t xml:space="preserve">https://doi.org/10.1109/CVPR.2011.5995347</w:t>
        </w:r>
      </w:hyperlink>
    </w:p>
    <w:p>
      <w:pPr>
        <w:spacing w:after="70" w:line="250"/>
        <w:ind w:left="360" w:hanging="360"/>
        <w:jc w:val="left"/>
      </w:pPr>
      <w:r>
        <w:rPr>
          <w:rFonts w:ascii="Times New Roman" w:cs="Times New Roman" w:eastAsia="Times New Roman" w:hAnsi="Times New Roman"/>
          <w:color w:val="000000"/>
          <w:sz w:val="19"/>
          <w:szCs w:val="19"/>
        </w:rPr>
        <w:t xml:space="preserve">63. Kendrick, C., Cassidy, B., Pappachan, J.M., et al., 2022. Translating clinical delineation of diabetic foot ulcers into machine interpretable segmentation. arXiv preprint. </w:t>
      </w:r>
      <w:hyperlink w:history="1" r:id="rIdkn3msvg_5pcpfbf-pxiy3">
        <w:r>
          <w:rPr>
            <w:rFonts w:ascii="Times New Roman" w:cs="Times New Roman" w:eastAsia="Times New Roman" w:hAnsi="Times New Roman"/>
            <w:color w:val="28598A"/>
            <w:sz w:val="19"/>
            <w:szCs w:val="19"/>
            <w:u w:val="single" w:color="28598A"/>
          </w:rPr>
          <w:t xml:space="preserve">https://arxiv.org/abs/2204.11618</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eymuj_oz5kt2rqmta1g" Type="http://schemas.openxmlformats.org/officeDocument/2006/relationships/hyperlink" Target="https://doi.org/10.1001/jamanetworkopen.2018.5474" TargetMode="External"/><Relationship Id="rId7aojni5xfx5rdmppltodp" Type="http://schemas.openxmlformats.org/officeDocument/2006/relationships/hyperlink" Target="https://doi.org/10.52202/075280-1626" TargetMode="External"/><Relationship Id="rId0i0fd8qn0zveiqp6xfkst" Type="http://schemas.openxmlformats.org/officeDocument/2006/relationships/hyperlink" Target="https://arxiv.org/abs/2605.05761" TargetMode="External"/><Relationship Id="rIdl_ibp7p63gwnpgi0xcybr" Type="http://schemas.openxmlformats.org/officeDocument/2006/relationships/hyperlink" Target="https://doi.org/10.1007/978-3-031-73254-6_21" TargetMode="External"/><Relationship Id="rId_ujrxuiomsehsl2bgxlmu" Type="http://schemas.openxmlformats.org/officeDocument/2006/relationships/hyperlink" Target="https://doi.org/10.1038/s41467-018-07619-7" TargetMode="External"/><Relationship Id="rIduhva7ljyxnxzeewv5pnly" Type="http://schemas.openxmlformats.org/officeDocument/2006/relationships/hyperlink" Target="https://doi.org/10.1038/s41592-023-02150-0" TargetMode="External"/><Relationship Id="rIdktxfhvnabyjdbaost0kcc" Type="http://schemas.openxmlformats.org/officeDocument/2006/relationships/hyperlink" Target="https://arxiv.org/abs/2107.07002" TargetMode="External"/><Relationship Id="rId-oumbdgst_jpkjjzu1nik" Type="http://schemas.openxmlformats.org/officeDocument/2006/relationships/hyperlink" Target="https://doi.org/10.1109/ICMEW68306.2025.11152102" TargetMode="External"/><Relationship Id="rIdbnirhmynapu5ghasngnnm" Type="http://schemas.openxmlformats.org/officeDocument/2006/relationships/hyperlink" Target="https://arxiv.org/abs/2411.03670" TargetMode="External"/><Relationship Id="rIdeyiear2sgxzw0wu9brgth" Type="http://schemas.openxmlformats.org/officeDocument/2006/relationships/hyperlink" Target="https://doi.org/10.1038/s41598-024-52063-x" TargetMode="External"/><Relationship Id="rIdepjfy0efp69kmwf1lpon0" Type="http://schemas.openxmlformats.org/officeDocument/2006/relationships/hyperlink" Target="https://arxiv.org/abs/2607.08203" TargetMode="External"/><Relationship Id="rIdg-zdni4iykpnblflkxkbd" Type="http://schemas.openxmlformats.org/officeDocument/2006/relationships/hyperlink" Target="https://doi.org/10.1109/IJCB54206.2022.10007952" TargetMode="External"/><Relationship Id="rIde2-hqbkzbzuomtp2mkdbx" Type="http://schemas.openxmlformats.org/officeDocument/2006/relationships/hyperlink" Target="https://arxiv.org/abs/2607.14932" TargetMode="External"/><Relationship Id="rIdtlykjkwx9-icqkodyh8jk" Type="http://schemas.openxmlformats.org/officeDocument/2006/relationships/hyperlink" Target="https://arxiv.org/abs/2310.16052" TargetMode="External"/><Relationship Id="rIdf4qsexux5zlbzdwdmcvvo" Type="http://schemas.openxmlformats.org/officeDocument/2006/relationships/hyperlink" Target="https://doi.org/10.52202/075280-0091" TargetMode="External"/><Relationship Id="rIdmyqrzmmoaidad8iikgyn5" Type="http://schemas.openxmlformats.org/officeDocument/2006/relationships/hyperlink" Target="https://arxiv.org/abs/2105.00717" TargetMode="External"/><Relationship Id="rIdecmpzfwis6wgsn4mmk0ii" Type="http://schemas.openxmlformats.org/officeDocument/2006/relationships/hyperlink" Target="https://arxiv.org/abs/2606.29232" TargetMode="External"/><Relationship Id="rIdfrpr1ukp7eedomnxfkrg-" Type="http://schemas.openxmlformats.org/officeDocument/2006/relationships/hyperlink" Target="https://arxiv.org/abs/2407.13696" TargetMode="External"/><Relationship Id="rIdyzg26ehcxedyjmmusmume" Type="http://schemas.openxmlformats.org/officeDocument/2006/relationships/hyperlink" Target="https://arxiv.org/abs/2507.05195" TargetMode="External"/><Relationship Id="rIdvcuybdswmgdaymazsgvnl" Type="http://schemas.openxmlformats.org/officeDocument/2006/relationships/hyperlink" Target="https://arxiv.org/abs/2209.00613" TargetMode="External"/><Relationship Id="rIdscnkshilwyd2uidvtg1v0" Type="http://schemas.openxmlformats.org/officeDocument/2006/relationships/hyperlink" Target="https://arxiv.org/abs/2107.04649" TargetMode="External"/><Relationship Id="rIdj6ipoioayycircmaqqhcz" Type="http://schemas.openxmlformats.org/officeDocument/2006/relationships/hyperlink" Target="https://proceedings.mlr.press/v162/fang22a.html" TargetMode="External"/><Relationship Id="rId-lws82xuvuaw-ahuziswd" Type="http://schemas.openxmlformats.org/officeDocument/2006/relationships/hyperlink" Target="https://doi.org/10.1111/j.2517-6161.1951.tb00088.x" TargetMode="External"/><Relationship Id="rId_uv3xuujgjjsdsh7uo74v" Type="http://schemas.openxmlformats.org/officeDocument/2006/relationships/hyperlink" Target="https://doi.org/10.3389/fpsyg.2013.00513" TargetMode="External"/><Relationship Id="rId3sn7vitq18bhcrxiqnhd5" Type="http://schemas.openxmlformats.org/officeDocument/2006/relationships/hyperlink" Target="https://doi.org/10.1109/ACCESS.2024.3502467" TargetMode="External"/><Relationship Id="rIdrazdks4gq4xtbhqjtytqf" Type="http://schemas.openxmlformats.org/officeDocument/2006/relationships/hyperlink" Target="https://arxiv.org/abs/2607.02555" TargetMode="External"/><Relationship Id="rIdvcqhwrxim1izfi7vcn-jv" Type="http://schemas.openxmlformats.org/officeDocument/2006/relationships/hyperlink" Target="http://www.medetec.co.uk/files/medetec-image-databases.html" TargetMode="External"/><Relationship Id="rIdl3bnbhkjtnl1ro8hoiaor" Type="http://schemas.openxmlformats.org/officeDocument/2006/relationships/hyperlink" Target="https://doi.org/10.48550/arXiv.2408.10827" TargetMode="External"/><Relationship Id="rIdhdjjstcvjmw0ma7io9idz" Type="http://schemas.openxmlformats.org/officeDocument/2006/relationships/hyperlink" Target="https://doi.org/10.3390/info15030140" TargetMode="External"/><Relationship Id="rIdcec8etb9bng2dugs9-e7b" Type="http://schemas.openxmlformats.org/officeDocument/2006/relationships/hyperlink" Target="https://doi.org/10.1038/s41598-020-78799-w" TargetMode="External"/><Relationship Id="rId0iquzibrhb5o5qadb3cno" Type="http://schemas.openxmlformats.org/officeDocument/2006/relationships/hyperlink" Target="https://doi.org/10.1007/978-3-030-37734-2_37" TargetMode="External"/><Relationship Id="rIdava4xkriuitbt1j0_1n9n" Type="http://schemas.openxmlformats.org/officeDocument/2006/relationships/hyperlink" Target="https://doi.org/10.1016/j.compmedimag.2015.02.007" TargetMode="External"/><Relationship Id="rIdbjmvpntstiosk1iyshycl" Type="http://schemas.openxmlformats.org/officeDocument/2006/relationships/hyperlink" Target="https://doi.org/10.1016/j.patcog.2012.03.002" TargetMode="External"/><Relationship Id="rIdpnadn9zweu5miu6gmzty-" Type="http://schemas.openxmlformats.org/officeDocument/2006/relationships/hyperlink" Target="https://doi.org/10.1007/s11548-013-0926-3" TargetMode="External"/><Relationship Id="rId5_t51xwdtmgarwjekjuus" Type="http://schemas.openxmlformats.org/officeDocument/2006/relationships/hyperlink" Target="https://doi.org/10.1109/EMBC.2013.6610779" TargetMode="External"/><Relationship Id="rIdobnvkq6tp460dvqv5fqz9" Type="http://schemas.openxmlformats.org/officeDocument/2006/relationships/hyperlink" Target="https://doi.org/10.1109/ISBI48211.2021.9434087" TargetMode="External"/><Relationship Id="rIdhnqmdz6cdll2fwb7xwq9x" Type="http://schemas.openxmlformats.org/officeDocument/2006/relationships/hyperlink" Target="https://github.com/qubvel-org/segmentation_models.pytorch" TargetMode="External"/><Relationship Id="rId-i7lca9zmqzu3yv8rljjg" Type="http://schemas.openxmlformats.org/officeDocument/2006/relationships/hyperlink" Target="https://doi.org/10.1007/978-3-319-24574-4_28" TargetMode="External"/><Relationship Id="rId03mrv1m_xbabd13vendqn" Type="http://schemas.openxmlformats.org/officeDocument/2006/relationships/hyperlink" Target="https://doi.org/10.1007/978-3-030-00889-5_1" TargetMode="External"/><Relationship Id="rIdygi3eb-przh7xz0sgx_bt" Type="http://schemas.openxmlformats.org/officeDocument/2006/relationships/hyperlink" Target="https://doi.org/10.1007/978-3-030-01234-2_49" TargetMode="External"/><Relationship Id="rIdbtggunil03an7g34apupi" Type="http://schemas.openxmlformats.org/officeDocument/2006/relationships/hyperlink" Target="https://doi.org/10.1109/CVPR.2017.106" TargetMode="External"/><Relationship Id="rId3n-ng4nehtkivhz6jqogb" Type="http://schemas.openxmlformats.org/officeDocument/2006/relationships/hyperlink" Target="https://doi.org/10.1109/CVPR.2017.660" TargetMode="External"/><Relationship Id="rIddblw6kq222gq8nn5catgo" Type="http://schemas.openxmlformats.org/officeDocument/2006/relationships/hyperlink" Target="https://doi.org/10.1109/VCIP.2017.8305148" TargetMode="External"/><Relationship Id="rIdxxwvvphtw8zjucefqvnds" Type="http://schemas.openxmlformats.org/officeDocument/2006/relationships/hyperlink" Target="https://doi.org/10.1109/ACCESS.2020.3025372" TargetMode="External"/><Relationship Id="rId9gfh7mask3wtkaxeitgda" Type="http://schemas.openxmlformats.org/officeDocument/2006/relationships/hyperlink" Target="https://doi.org/10.1109/CVPR.2016.90" TargetMode="External"/><Relationship Id="rIdrpqteiqpvmq7mwizvrbtq" Type="http://schemas.openxmlformats.org/officeDocument/2006/relationships/hyperlink" Target="https://doi.org/10.1109/CVPR.2018.00474" TargetMode="External"/><Relationship Id="rIdge233wiryefjo2f_g1i0i" Type="http://schemas.openxmlformats.org/officeDocument/2006/relationships/hyperlink" Target="https://arxiv.org/abs/1905.11946" TargetMode="External"/><Relationship Id="rIdpamyhjkaucjqmkcysxobp" Type="http://schemas.openxmlformats.org/officeDocument/2006/relationships/hyperlink" Target="https://arxiv.org/abs/2105.15203" TargetMode="External"/><Relationship Id="rIdlytdsqq8rz7v74ta8vwg4" Type="http://schemas.openxmlformats.org/officeDocument/2006/relationships/hyperlink" Target="https://doi.org/10.1109/CVPR.2009.5206848" TargetMode="External"/><Relationship Id="rIdoijef4vcfx2mihfqr0qku" Type="http://schemas.openxmlformats.org/officeDocument/2006/relationships/hyperlink" Target="https://doi.org/10.1038/s41592-020-01008-z" TargetMode="External"/><Relationship Id="rId7qugdhaerdrht1ofllfg-" Type="http://schemas.openxmlformats.org/officeDocument/2006/relationships/hyperlink" Target="https://doi.org/10.1109/ICCV51070.2023.00371" TargetMode="External"/><Relationship Id="rIde57amntkb0yq4arqbbxnf" Type="http://schemas.openxmlformats.org/officeDocument/2006/relationships/hyperlink" Target="https://doi.org/10.1038/s41467-024-44824-z" TargetMode="External"/><Relationship Id="rId2y7lcqw3png7re-gmlhhp" Type="http://schemas.openxmlformats.org/officeDocument/2006/relationships/hyperlink" Target="https://doi.org/10.21203/rs.3.rs-10362132/v1" TargetMode="External"/><Relationship Id="rIdjg6fnrdu8nxy28wc9efqp" Type="http://schemas.openxmlformats.org/officeDocument/2006/relationships/hyperlink" Target="https://arxiv.org/abs/1809.04430" TargetMode="External"/><Relationship Id="rIdgwosbn2wcdo2ksbg5t0gj" Type="http://schemas.openxmlformats.org/officeDocument/2006/relationships/hyperlink" Target="https://arxiv.org/abs/2505.07175" TargetMode="External"/><Relationship Id="rId1e_i70qgsdptvmr5oay_o" Type="http://schemas.openxmlformats.org/officeDocument/2006/relationships/hyperlink" Target="https://doi.org/10.1038/s41598-021-82017-6" TargetMode="External"/><Relationship Id="rId-wqz7_cwcyc141i_qjc5x" Type="http://schemas.openxmlformats.org/officeDocument/2006/relationships/hyperlink" Target="https://doi.org/10.1007/978-3-031-72117-5_12" TargetMode="External"/><Relationship Id="rIdulmewcb7ip5flpwtaguh9" Type="http://schemas.openxmlformats.org/officeDocument/2006/relationships/hyperlink" Target="https://doi.org/10.1109/IROS.2017.8202133" TargetMode="External"/><Relationship Id="rId0c9fcvt3mvxstndjbt8yk" Type="http://schemas.openxmlformats.org/officeDocument/2006/relationships/hyperlink" Target="https://doi.org/10.1109/CVPRW.2018.00143" TargetMode="External"/><Relationship Id="rIdubbpwmi0tcre38_knruch" Type="http://schemas.openxmlformats.org/officeDocument/2006/relationships/hyperlink" Target="https://doi.org/10.1109/ICRA.2019.8794443" TargetMode="External"/><Relationship Id="rIdnm7n_a6zyqn3hit-4kpy2" Type="http://schemas.openxmlformats.org/officeDocument/2006/relationships/hyperlink" Target="https://arxiv.org/abs/2302.05432" TargetMode="External"/><Relationship Id="rIdmr065nmvvzim0uexqhpbb" Type="http://schemas.openxmlformats.org/officeDocument/2006/relationships/hyperlink" Target="https://doi.org/10.1109/CVPR.2011.5995347" TargetMode="External"/><Relationship Id="rIdkn3msvg_5pcpfbf-pxiy3" Type="http://schemas.openxmlformats.org/officeDocument/2006/relationships/hyperlink" Target="https://arxiv.org/abs/2204.11618" TargetMode="External"/><Relationship Id="rId7" Type="http://schemas.openxmlformats.org/officeDocument/2006/relationships/image" Target="media/bf3fe79406779b3a38f9b878a4523b933257d32c.png"/><Relationship Id="rId8" Type="http://schemas.openxmlformats.org/officeDocument/2006/relationships/image" Target="media/ca7642548c84ef8f5b11945ffc63b7bf08204f32.png"/><Relationship Id="rId7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clinical reference and the method pool determine synthetic benchmark validity in medical image segmentation</dc:title>
  <cp:lastModifiedBy>Un-named</cp:lastModifiedBy>
  <cp:revision>1</cp:revision>
  <dcterms:created xsi:type="dcterms:W3CDTF">2026-10-10T03:56:16.242Z</dcterms:created>
  <dcterms:modified xsi:type="dcterms:W3CDTF">2026-10-10T03:56:16.242Z</dcterms:modified>
</cp:coreProperties>
</file>

<file path=docProps/custom.xml><?xml version="1.0" encoding="utf-8"?>
<Properties xmlns="http://schemas.openxmlformats.org/officeDocument/2006/custom-properties" xmlns:vt="http://schemas.openxmlformats.org/officeDocument/2006/docPropsVTypes"/>
</file>