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Method pool, clinical reference and training seed shape the measured validity of synthetic segmentation benchmarks: a study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both"/>
      </w:pPr>
      <w:r>
        <w:rPr>
          <w:rFonts w:ascii="Times New Roman" w:cs="Times New Roman" w:eastAsia="Times New Roman" w:hAnsi="Times New Roman"/>
          <w:color w:val="000000"/>
          <w:sz w:val="22"/>
          <w:szCs w:val="22"/>
        </w:rPr>
        <w:t xml:space="preserve">Synthetic test sets for medical image segmentation are usually validated by showing that they rank methods as a clinical dataset does. We measured how much this figure depends on the methods compared, the clinical reference and training noise. We scored 65 methods on 11 public clinical datasets in four modalities and on parametric synthetic wound benchmarks: 18 untrained classical methods, 14 methods trained from scratch on wound photographs, the same 14 trained on colonoscopy images, and 19 modern models (18 ImageNet-pretrained architectures, each trained with three random seeds, and nnU-Net). Agreement was the Spearman correlation of per-method mean Dice. Pooling classical and modern methods made four wound datasets agree at 0.82, although they agreed at 0.35 among the classical and 0.21 among the modern methods; ranking methods within their own group before pooling removed this effect. Among the modern models, two training seeds of the same architectures agreed at only 0.44 on the same wound dataset, and different wound datasets agreed less (0.09). A synthetic benchmark agreed with the wound datasets at 0.65 over the pooled methods but at 0.21 among the modern models, the level at which the wound datasets agreed with each other. A modern model chosen on one wound dataset lost 0.048 Dice on average on another, against 0.063 for a random choice, and on one dataset the pretrained architectures missed 28.7% of wounds against 1.5% for nnU-Net. The measured validity of a synthetic benchmark depends on the method pool, the clinical reference and the training seed.</w:t>
      </w:r>
    </w:p>
    <w:p>
      <w:pPr>
        <w:spacing w:after="200" w:line="276"/>
        <w:jc w:val="both"/>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both"/>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 6], with the choice of benchmark [7, 8] and with the hospital the test data come from [9–11].</w:t>
      </w:r>
    </w:p>
    <w:p>
      <w:pPr>
        <w:spacing w:after="140" w:line="276"/>
        <w:jc w:val="both"/>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the same basis [14–16], and in computed tomography the transfer of rankings from synthetic to real data has been shown to depend on the task [17]. Such a correlation is computed over a particular set of methods. Outside medical imaging it is established that agreement between benchmarks depends on which models are compared [18, 19], and that the correlation between in-distribution and out-of-distribution performance depends on how the models were selected and trained [20–22]. When groups of methods change order between domains, pooling them produces correlations that hold in neither group, a form of Simpson's paradox [23, 24].</w:t>
      </w:r>
    </w:p>
    <w:p>
      <w:pPr>
        <w:spacing w:after="140" w:line="276"/>
        <w:jc w:val="both"/>
      </w:pPr>
      <w:r>
        <w:rPr>
          <w:rFonts w:ascii="Times New Roman" w:cs="Times New Roman" w:eastAsia="Times New Roman" w:hAnsi="Times New Roman"/>
          <w:color w:val="000000"/>
          <w:sz w:val="22"/>
          <w:szCs w:val="22"/>
        </w:rPr>
        <w:t xml:space="preserve">Medical segmentation studies often pool exactly such groups. Wound segmentation studies, for example, compare classical colour and threshold methods with trained networks [25, 26], and a synthetic benchmark validated over such a pool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two datasets cannot agree on an order that training noise does not preserve.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both"/>
      </w:pPr>
      <w:r>
        <w:rPr>
          <w:rFonts w:ascii="Times New Roman" w:cs="Times New Roman" w:eastAsia="Times New Roman" w:hAnsi="Times New Roman"/>
          <w:color w:val="000000"/>
          <w:sz w:val="22"/>
          <w:szCs w:val="22"/>
        </w:rPr>
        <w:t xml:space="preserve">We scored 65 methods in four homogeneous groups on 11 clinical datasets from eight sources in four modalities and on synthetic wound benchmarks from three generator families. The modern group contains 18 ImageNet-pretrained architectures, each trained with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both"/>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both"/>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widely within one pool.</w:t>
      </w:r>
    </w:p>
    <w:p>
      <w:pPr>
        <w:spacing w:after="80" w:line="276"/>
        <w:ind w:left="240"/>
        <w:jc w:val="both"/>
      </w:pPr>
      <w:r>
        <w:rPr>
          <w:rFonts w:ascii="Times New Roman" w:cs="Times New Roman" w:eastAsia="Times New Roman" w:hAnsi="Times New Roman"/>
          <w:color w:val="000000"/>
          <w:sz w:val="22"/>
          <w:szCs w:val="22"/>
        </w:rPr>
        <w:t xml:space="preserve">3. Evidence from 18 architectures trained with three seeds that rankings of modern models on wound data are dominated by small differences and training noise, with the consequences for model selection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both"/>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FUSeg challenge validation set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both"/>
      </w:pPr>
      <w:r>
        <w:rPr>
          <w:rFonts w:ascii="Times New Roman" w:cs="Times New Roman" w:eastAsia="Times New Roman" w:hAnsi="Times New Roman"/>
          <w:color w:val="000000"/>
          <w:sz w:val="22"/>
          <w:szCs w:val="22"/>
        </w:rPr>
        <w:t xml:space="preserve">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77 control images are crops of 118 and 70 photographs. The photograph is therefore the resampling unit for these three sets in every analysis, and the image for all others.</w:t>
      </w:r>
    </w:p>
    <w:p>
      <w:pPr>
        <w:spacing w:after="140" w:line="276"/>
        <w:jc w:val="both"/>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71 are crops of FUSeg photographs used in this study (51 from its training split and 20 from the validation images used as reference), and 2 more are pixel-identical to AZH test images; they were removed, leaving 77. A fifth wound dataset (WoundSeg) was prepared but excluded before any method was scored on it, because 322 of its 2,686 masks did not match the size of their image, so the pairing of images and masks could not be trusted. The exclusions are listed in Online Resource 1 (Table S9).</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77</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both"/>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U-Net [41], U-Net++ [42], DeepLabV3+ [43], FPN [44], PSPNet [45], LinkNet [46] and MA-Net [47] on ResNet-18 [48], U-Net on MobileNetV2 [49] and EfficientNet-B0 [50], and SegFormer on MiT-B0 [51].</w:t>
      </w:r>
    </w:p>
    <w:p>
      <w:pPr>
        <w:spacing w:after="100" w:line="276"/>
        <w:jc w:val="both"/>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one decision threshold (0.90) was swept for the logistic regression on images 250 to 399 and applied to all three. The small U-Net uses a threshold of 0.5. The ten architectures were trained on images 0 to 392 at 128 by 128 pixels for 30 epochs (Dice plus binary cross-entropy, Adam, learning rate 0.001, horizontal flips) and each threshold was swept on images 400 to 549. The Kvasir-trained group (K) repeats this protocol exactly on Kvasir-SEG images that appear in neither Kvasir reference nor the sessile subset (pixel threshold 0.60).</w:t>
      </w:r>
    </w:p>
    <w:p>
      <w:pPr>
        <w:spacing w:after="100" w:line="276"/>
        <w:jc w:val="both"/>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90-degree rotations, and mixed-precision arithmetic with gradient scaling. Each model's decision threshold was chosen on a grid from 0.05 to 0.90 in steps of 0.05 to maximise mean Dice on 148 held-out FUSeg training images (images 400 to 549 without two duplicates of evaluation images). Held-out Dice of the 51 individual models ranged from 0.75 to 0.84.</w:t>
      </w:r>
    </w:p>
    <w:p>
      <w:pPr>
        <w:spacing w:after="100" w:line="276"/>
        <w:jc w:val="both"/>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GPU session; seeds 1 and 2 of these and all seeds of the eight new architectures were trained in a second session with the same training code (segmentation_models_pytorch 0.5.0, timm 1.0.22 and PyTorch 2.11.0 were recorded in the second session; the first session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both"/>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w:t>
      </w:r>
    </w:p>
    <w:p>
      <w:pPr>
        <w:spacing w:after="100" w:line="276"/>
        <w:jc w:val="both"/>
      </w:pPr>
      <w:r>
        <w:rPr>
          <w:rFonts w:ascii="Times New Roman" w:cs="Times New Roman" w:eastAsia="Times New Roman" w:hAnsi="Times New Roman"/>
          <w:color w:val="000000"/>
          <w:sz w:val="22"/>
          <w:szCs w:val="22"/>
        </w:rPr>
        <w:t xml:space="preserve">SAM [58] and MedSAM [59] were also run, with box prompts taken from the reference masks. Because those prompts give them the lesion location, they are reported only in Online Resource 1 (Table S8) and are not part of any method set.</w:t>
      </w:r>
    </w:p>
    <w:p>
      <w:pPr>
        <w:spacing w:after="140" w:line="276"/>
        <w:jc w:val="both"/>
      </w:pPr>
      <w:r>
        <w:rPr>
          <w:rFonts w:ascii="Times New Roman" w:cs="Times New Roman" w:eastAsia="Times New Roman" w:hAnsi="Times New Roman"/>
          <w:color w:val="000000"/>
          <w:sz w:val="22"/>
          <w:szCs w:val="22"/>
        </w:rPr>
        <w:t xml:space="preserve">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both"/>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both"/>
      </w:pPr>
      <w:r>
        <w:rPr>
          <w:rFonts w:ascii="Times New Roman" w:cs="Times New Roman" w:eastAsia="Times New Roman" w:hAnsi="Times New Roman"/>
          <w:color w:val="000000"/>
          <w:sz w:val="22"/>
          <w:szCs w:val="22"/>
        </w:rPr>
        <w:t xml:space="preserve">Agreement between two image sets is the Spearman correlation between their vectors of per-method mean Dice over a given set of methods.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at a tolerance of 2 pixels [61] and with the images whose reference mask is empty excluded.</w:t>
      </w:r>
    </w:p>
    <w:p>
      <w:pPr>
        <w:spacing w:after="100" w:line="276"/>
        <w:jc w:val="both"/>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relabeling (52 pairs).</w:t>
      </w:r>
    </w:p>
    <w:p>
      <w:pPr>
        <w:spacing w:after="140" w:line="276"/>
        <w:jc w:val="both"/>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 hierarchical bootstrap also resamples the units of every dataset independently (1,000 draws), using photographs as units for Medetec (38 photographs), AZH (118) and the control (70), and images for the other datasets. Resampling units adds noise to every method mean and so pulls agreement towards zero in each draw; hierarchical intervals therefore sit partly below the estimate and are conservative for claims that agreement exceeds zero. Intervals in the text are method-bootstrap intervals unless marked hierarchical. Analyses of the synthetic benchmarks that involve untrained or from-scratch methods use the method bootstrap only, because per-image synthetic scores exist only for the GPU-trained groups. Image sampling within a dataset was also summarised by split-half reliability: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140" w:line="276"/>
        <w:jc w:val="both"/>
      </w:pPr>
      <w:r>
        <w:rPr>
          <w:rFonts w:ascii="Times New Roman" w:cs="Times New Roman" w:eastAsia="Times New Roman" w:hAnsi="Times New Roman"/>
          <w:color w:val="000000"/>
          <w:sz w:val="22"/>
          <w:szCs w:val="22"/>
        </w:rPr>
        <w:t xml:space="preserve">As a remedy for pooled sets we computed stratified agreement. Within each group g of size n_g, a method's mean on a dataset is replaced by its within-group percentile (r − 0.5)/n_g, where r is its rank in the group, and agreement is the Pearson correlation of these percentiles over the pooled set of N = Σ n_g methods. The percentiles have mean 1/2 in every group, so the pooled mean is also 1/2 and the between-group part of the pooled covariance is zero. The pooled covariance of the percentiles on datasets A and B is therefore (1/N) Σ n_g c_g, and each pooled variance is (1/N) Σ n_g v_g, where c_g and v_g are the covariance and variance within group g. Without ties, v_g = (1 − 1/n_g²)/12 on every dataset, and within a group the correlation of percentiles is the Spearman correlation r_g. Hence stratified agreement = Σ w_g r_g / Σ w_g with w_g = n_g − 1/n_g, a size-weighted average of the within-group agreements. The weights do not depend on the pair, so the identity also holds for means over pairs. With ties the variances differ slightly between datasets and the identity holds approximately. Stratified agreement thus adds no information beyond the within-group agreements; what it shows is how much of a pooled value comes from differences in level between groups. In our data the Pearson value matched the identity to rounding error, and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40" w:line="276"/>
        <w:jc w:val="both"/>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do. We also compared wound-pair agreement at single seeds (mean over the three seeds) with agreement of the seed averages, and set the spread of architecture means on each dataset against the seed-to-seed standard deviation of one architecture's mean (pooled over the 16 architectures). Intervals resample architectures (2,000 draws); hierarchical intervals also resample units (1,000 draws). One reading rule was fixed before the new trainings were scored: the statement that modern models disagree across wound datasets because the datasets differ, not because of training noise, would be supported only if same-dataset cross-seed agreement exceeded 0.7 while cross-dataset agreement stayed low.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both"/>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the mean agreement of the six wound pairs. The texture effect is benchmark agreement at amplitude 40 minus agreement at amplitude 11. Benchmark agreement was also computed for single-seed versions of the modern group, in which every architecture is represented by its model at one training seed, together with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both"/>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synthetic chooser picks the candidate with the highest mean Dice on generator B (mean over synthetic seeds). Selection losses are small Dice differences and are given to three decimals. A miss is a non-empty reference mask segmented with Dice below 0.1. Miss rates were computed for every individual trained model and averaged over seeds per architecture, because a seed-averaged score is not the output of any model; their intervals resample units (2,000 draws) with the models fixed. To look for the cause of the misses on AZH we related, for each image, the share of pretrained models that miss it to its share of black padding pixels (every colour channel at most 8) and to its lesion fraction.</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both"/>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remove calibration differences.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Confirmatory and exploratory analyses</w:t>
      </w:r>
    </w:p>
    <w:p>
      <w:pPr>
        <w:spacing w:after="140" w:line="276"/>
        <w:jc w:val="both"/>
      </w:pPr>
      <w:r>
        <w:rPr>
          <w:rFonts w:ascii="Times New Roman" w:cs="Times New Roman" w:eastAsia="Times New Roman" w:hAnsi="Times New Roman"/>
          <w:color w:val="000000"/>
          <w:sz w:val="22"/>
          <w:szCs w:val="22"/>
        </w:rPr>
        <w:t xml:space="preserve">The composition effect of pooling and the modality structure within groups were the confirmatory analyses of the study design and are tested with the exact relabeling test. All other analyses, including the training-seed, benchmark, selection and robustness analyses, are exploratory and are reported with intervals; no correction for multiple comparisons was applied.</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both"/>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Each dataset ranks the methods reproducibly: split-half reliability over all 65 methods is 0.97 to 0.99 on the 11 datasets, and among the 19 modern models it is 0.82 to 0.92 on the four wound datasets.</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both"/>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both"/>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(−0.06 to 0.35), is not distinguishable from zero. Agreement between wound and other datasets turns negative, −0.26 (−0.44 to −0.09), against 0.09 and 0.14 within the groups.</w:t>
      </w:r>
    </w:p>
    <w:p>
      <w:pPr>
        <w:spacing w:after="100" w:line="276"/>
        <w:jc w:val="both"/>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both"/>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relabeling p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(95%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both"/>
      </w:pPr>
      <w:r>
        <w:rPr>
          <w:rFonts w:ascii="Times New Roman" w:cs="Times New Roman" w:eastAsia="Times New Roman" w:hAnsi="Times New Roman"/>
          <w:color w:val="3F3F3F"/>
          <w:sz w:val="16"/>
          <w:szCs w:val="16"/>
        </w:rPr>
        <w:t xml:space="preserve">Within modality: different sources. The smallest attainable p is 0.00014.</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both"/>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score above the floor on most non-wound datasets. The from-scratch group shows the same structure (0.47, p = 0.0046), although its group mean Dice is below 0.1 on six of the seven non-wound datasets. For these three groups the difference holds without the three within-source pairs (0.46 to 0.60, p at most 0.0091), under NSD (0.42 to 0.68, p at most 0.00043) and with empty masks excluded (0.46 to 0.60, p at most 0.0068; Online Resource 1, Tables S2 and S3). Colonoscopy datasets from three sources agree at 0.86, 0.88 and 0.83 within the three groups, whereas the wound datasets agree at 0.35, 0.16 and 0.36.</w:t>
      </w:r>
    </w:p>
    <w:p>
      <w:pPr>
        <w:spacing w:after="140" w:line="276"/>
        <w:jc w:val="both"/>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depends on the training seed. For the ten original architectures with nnU-Net it is 0.47 with the seed-0 models, 0.02 with the seed-1 models (p = 0.38) and 0.18 with the seed-2 models (nine architectures; p = 0.022), and the eight new architectures show none (0.05, p = 0.33).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both"/>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the same level (0.21; difference 0.00, −0.41 to 0.30; hierarchical −0.36 to 0.27). Over the pooled set the benchmark is a worse proxy than another wound dataset: it agrees with each wound dataset less than the other wound datasets do, by −0.17 on average (−0.38 to −0.02). Among untrained methods it agrees at 0.53 (0.22 to 0.74); for the from-scratch and Kvasir-trained groups the intervals include zero.</w:t>
      </w:r>
    </w:p>
    <w:p>
      <w:pPr>
        <w:spacing w:after="100" w:line="276"/>
        <w:jc w:val="both"/>
      </w:pPr>
      <w:r>
        <w:rPr>
          <w:rFonts w:ascii="Times New Roman" w:cs="Times New Roman" w:eastAsia="Times New Roman" w:hAnsi="Times New Roman"/>
          <w:color w:val="000000"/>
          <w:sz w:val="22"/>
          <w:szCs w:val="22"/>
        </w:rPr>
        <w:t xml:space="preserve">Validity per reference varies widely. Among untrained methods the benchmark agrees with CO2Wounds-V2 at 0.80 and with AZH at 0.32; among Kvasir-trained methods it agrees with AZH at 0.56 and with FUSeg at −0.34; among modern models its agreement with single wound datasets ranges from 0.05 to 0.47 (Table 4). Reported against a single dataset, the same benchmark and pool could be described as valid or invalid.</w:t>
      </w:r>
    </w:p>
    <w:p>
      <w:pPr>
        <w:spacing w:after="100" w:line="276"/>
        <w:jc w:val="both"/>
      </w:pPr>
      <w:r>
        <w:rPr>
          <w:rFonts w:ascii="Times New Roman" w:cs="Times New Roman" w:eastAsia="Times New Roman" w:hAnsi="Times New Roman"/>
          <w:color w:val="000000"/>
          <w:sz w:val="22"/>
          <w:szCs w:val="22"/>
        </w:rPr>
        <w:t xml:space="preserve">Background texture raises validity only in pooled sets. Moving generator B from amplitude 11 to 40 raises mean benchmark agreement by 0.33 (0.09 to 0.59) in U+M19, with every per-reference interval above zero, and by 0.21 (0.08 to 0.36) in U+F. Within the groups the change is 0.08, 0.03, −0.03 and −0.08 (U, F, K and M19), and only 1 of the 16 per-reference intervals excludes zero, about what chance would give.</w:t>
      </w:r>
    </w:p>
    <w:p>
      <w:pPr>
        <w:spacing w:after="140" w:line="276"/>
        <w:jc w:val="both"/>
      </w:pPr>
      <w:r>
        <w:rPr>
          <w:rFonts w:ascii="Times New Roman" w:cs="Times New Roman" w:eastAsia="Times New Roman" w:hAnsi="Times New Roman"/>
          <w:color w:val="000000"/>
          <w:sz w:val="22"/>
          <w:szCs w:val="22"/>
        </w:rPr>
        <w:t xml:space="preserve">Benchmark agreement among modern models also depends on the training seed. With single-seed versions of the ten original architectures it ranges from 0.23 to 0.40 over the three seeds, for the eight new architectures from −0.15 to 0.19, and for the full modern group from 0.20 to 0.25; the agreement between the wound datasets themselves moves with the seed as well (0.05 to 0.28 for the original ten). Leaving out one modern method moves benchmark agreement within 0.12 to 0.32. Comparisons between generator families also changed with the pool and the references (Online Resource 1, Table S5).</w:t>
      </w:r>
    </w:p>
    <w:p>
      <w:pPr>
        <w:keepNext/>
        <w:spacing w:after="80" w:before="200"/>
        <w:jc w:val="center"/>
      </w:pPr>
      <w:r>
        <w:drawing>
          <wp:inline distT="0" distB="0" distL="0" distR="0">
            <wp:extent cx="50387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30480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(95%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(95%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both"/>
      </w:pPr>
      <w:r>
        <w:rPr>
          <w:rFonts w:ascii="Times New Roman" w:cs="Times New Roman" w:eastAsia="Times New Roman" w:hAnsi="Times New Roman"/>
          <w:color w:val="000000"/>
          <w:sz w:val="22"/>
          <w:szCs w:val="22"/>
        </w:rPr>
        <w:t xml:space="preserve">Among the 19 modern models, the four wound datasets agree at 0.21 on average (hierarchical interval −0.11 to 0.51), although each ranks the models reproducibly (split-half reliability 0.82 to 0.92) and the AZH control agrees with AZH at 0.92 (hierarchical 0.50 to 0.98). Under NSD wound-pair agreement is 0.48 (hierarchical 0.11 to 0.69). The models are close together: on each wound dataset the 19 method means span 0.07 to 0.21 Dice, and the median gap between neighbours in the ranking is 0.001 to 0.006.</w:t>
      </w:r>
    </w:p>
    <w:p>
      <w:pPr>
        <w:spacing w:after="100" w:line="276"/>
        <w:jc w:val="both"/>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0.26 to 0.59 for the individual datasets), against 0.84 on the control images. Retraining one architecture with another seed moves its dataset mean with a pooled standard deviation of 0.010 to 0.033 Dice, several times the median gap between neighbours. The rule fixed before the seed experiment required same-dataset cross-seed agreement above 0.7. It was not met, so the statement that modern models disagree across wound datasets because the datasets differ, rather than because of training noise, is not supported in that form.</w:t>
      </w:r>
    </w:p>
    <w:p>
      <w:pPr>
        <w:spacing w:after="100" w:line="276"/>
        <w:jc w:val="both"/>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comes from the nine original architectures (0.50); among the seven new ones it is 0.08, so for them disagreement across datasets is no larger than disagreement between seeds. Under NSD the gap is 0.14 (−0.01 to 0.30). Averaging three seeds did not raise agreement across datasets: wound-pair agreement was 0.17 for single seeds (mean over three) and 0.17 for the seed averages, a difference of 0.00 (−0.14 to 0.17). A single-seed ranking on one wound dataset has a reliability (intraclass correlation) of 0.27 to 0.77, and a three-seed average one of 0.52 to 0.91 (Online Resource 1, Table S4).</w:t>
      </w:r>
    </w:p>
    <w:p>
      <w:pPr>
        <w:spacing w:after="140" w:line="276"/>
        <w:jc w:val="both"/>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At a common threshold the ranking follows how confident each model's outputs are: the mean Spearman correlation between the method means on the wound datasets and each model's own tuned threshold is 0.27 under the main protocol and 0.55 at a common threshold of 0.5. With a per-dataset oracle threshold for every model, which removes calibration differences, agreement falls to 0.12 (−0.14 to 0.39).</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and their mean), between two datasets at different seeds, and on the control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both"/>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w:t>
      </w:r>
    </w:p>
    <w:p>
      <w:pPr>
        <w:spacing w:after="140" w:line="276"/>
        <w:jc w:val="both"/>
      </w:pPr>
      <w:r>
        <w:rPr>
          <w:rFonts w:ascii="Times New Roman" w:cs="Times New Roman" w:eastAsia="Times New Roman" w:hAnsi="Times New Roman"/>
          <w:color w:val="000000"/>
          <w:sz w:val="22"/>
          <w:szCs w:val="22"/>
        </w:rPr>
        <w:t xml:space="preserve">Mean Dice hides a failure mode. On AZH the 18 pretrained architectures miss (Dice below 0.1) 28.7% (21.7% to 35.6%) of the 136 images with a non-empty reference on average, against 1.5% (0.0% to 3.7%) for nnU-Net; on FUSeg the rates are 2.6% and 4.6%. The new architectures miss less than the original ten (25.5% against 31.2%), but even the best, SegFormer (MiT-B2), misses 12.3% (7.4% to 17.3%), and one architecture's AZH miss rate varied by up to 14.0 percentage points between its seeds. AZH images are small wound crops pasted on a black canvas (85.6% of pixels black on average, against 26.3% for FUSeg). The share of the 51 pretrained models that miss an image correlates with its black-pixel share (Spearman 0.73) more than with its lesion fraction (−0.46). Within each lesion-fraction tercile, images with more padding than the median are missed by a larger share of models (0.78 against 0.23, 0.38 against 0.06 and 0.19 against 0.10). In 39 AZH images most pretrained models miss the wound and nnU-Net detects it; the reverse occurs in 0.</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intervals are 95% hierarchical bootstrap intervals for agreement, unit-bootstrap intervals for miss rates.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 to 0.85 (architecture bootstrap)</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−0.13 to 0.30 (architecture bootstrap)</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(19 candidates; Dice lost against the best)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both"/>
      </w:pPr>
      <w:r>
        <w:rPr>
          <w:rFonts w:ascii="Times New Roman" w:cs="Times New Roman" w:eastAsia="Times New Roman" w:hAnsi="Times New Roman"/>
          <w:color w:val="000000"/>
          <w:sz w:val="22"/>
          <w:szCs w:val="22"/>
        </w:rPr>
        <w:t xml:space="preserve">The pooled-set findings survive the analysis choices (Online Resource 1, Table S6).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both"/>
      </w:pPr>
      <w:r>
        <w:rPr>
          <w:rFonts w:ascii="Times New Roman" w:cs="Times New Roman" w:eastAsia="Times New Roman" w:hAnsi="Times New Roman"/>
          <w:color w:val="000000"/>
          <w:sz w:val="22"/>
          <w:szCs w:val="22"/>
        </w:rPr>
        <w:t xml:space="preserve">Among modern models, wound-pair agreement stays within 0.12 to 0.26 under Dice and 0.31 to 0.53 under NSD across post-processing pipelines, tolerances, the resampled FUSeg and the oracle threshold, and none of these changes has an interval that excludes zero; the common threshold described above is the only exception. Post-processing barely reorders the modern models under Dice (lowest rank correlation between pipelines on a non-floor dataset 0.90), more under NSD (0.73). Excluding empty reference masks leaves the modality differences unchanged (U+M19 1.10, M19 0.23)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both"/>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both"/>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and its ceiling is lower than it seems. Wound datasets agree with each other at 0.21 among modern models, so a benchmark that agrees with them at 0.21 is as good a proxy as another clinical dataset and no better.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both"/>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do differ: for the original architectures, two wound datasets disagree more than two seeds do, by a margin whose interval excludes zero. That part of the disagreement is a property of the data rather than of training. It did not appear among the new architectures, and the criterion fixed in advance for calling the disagreement data-driven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that removes calibration differences lowers agreement. Our main protocol tunes each model's threshold on held-out images from its training domain, as is usual before deployment, and the low agreement applies to that protocol.</w:t>
      </w:r>
    </w:p>
    <w:p>
      <w:pPr>
        <w:spacing w:after="140" w:line="276"/>
        <w:jc w:val="both"/>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and a model chosen on one wound dataset did only modestly better on another than a random choice.</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both"/>
      </w:pPr>
      <w:r>
        <w:rPr>
          <w:rFonts w:ascii="Times New Roman" w:cs="Times New Roman" w:eastAsia="Times New Roman" w:hAnsi="Times New Roman"/>
          <w:color w:val="000000"/>
          <w:sz w:val="22"/>
          <w:szCs w:val="22"/>
        </w:rPr>
        <w:t xml:space="preserve">The composition effect is Simpson's paradox [23, 24], and its role in benchmark agreement is established for language models [18, 19] and for robustness of image classifiers, where models trained on different data lie on different lines relating in-distribution and out-of-distribution accuracy [20–22]. Our contribution is to measure its size in medical segmentation, to show that it inflates agreement within one modality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both"/>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[67], and under NSD mean agreement between wound datasets among untrained methods rises from 0.35 to 0.62, which is consistent with framing conventions contributing to the disagreement [68, 69].</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both"/>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both"/>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both"/>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both"/>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both"/>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both"/>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both"/>
      </w:pPr>
      <w:r>
        <w:rPr>
          <w:rFonts w:ascii="Times New Roman" w:cs="Times New Roman" w:eastAsia="Times New Roman" w:hAnsi="Times New Roman"/>
          <w:color w:val="000000"/>
          <w:sz w:val="22"/>
          <w:szCs w:val="22"/>
        </w:rPr>
        <w:t xml:space="preserve">7. If a mixed pool cannot be avoided, report stratified agreement, keeping in mind that it equals the size-weighted average of the within-group agreements.</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both"/>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both"/>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both"/>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both"/>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images at 256 pixels; they represent current architectures, not every deployed system.</w:t>
      </w:r>
    </w:p>
    <w:p>
      <w:pPr>
        <w:spacing w:after="80" w:line="276"/>
        <w:ind w:left="240"/>
        <w:jc w:val="both"/>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gives lower agreement.</w:t>
      </w:r>
    </w:p>
    <w:p>
      <w:pPr>
        <w:spacing w:after="80" w:line="276"/>
        <w:ind w:left="240"/>
        <w:jc w:val="both"/>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near the floor on most of these datasets too.</w:t>
      </w:r>
    </w:p>
    <w:p>
      <w:pPr>
        <w:spacing w:after="80" w:line="276"/>
        <w:ind w:left="240"/>
        <w:jc w:val="both"/>
      </w:pPr>
      <w:r>
        <w:rPr>
          <w:rFonts w:ascii="Times New Roman" w:cs="Times New Roman" w:eastAsia="Times New Roman" w:hAnsi="Times New Roman"/>
          <w:color w:val="000000"/>
          <w:sz w:val="22"/>
          <w:szCs w:val="22"/>
        </w:rPr>
        <w:t xml:space="preserve">The synthetic benchmarks are parametric, contain 45 images each and were built at three synthetic seeds. Learned generators such as diffusion models were not tested. Benchmark intervals for sets that include untrained or from-scratch methods resample methods only.</w:t>
      </w:r>
    </w:p>
    <w:p>
      <w:pPr>
        <w:spacing w:after="80" w:line="276"/>
        <w:ind w:left="240"/>
        <w:jc w:val="both"/>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five pairs from different sources.</w:t>
      </w:r>
    </w:p>
    <w:p>
      <w:pPr>
        <w:spacing w:after="80" w:line="276"/>
        <w:ind w:left="240"/>
        <w:jc w:val="both"/>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both"/>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both"/>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The selection losses are point estimates, and the link between padding and misses is correlational.</w:t>
      </w:r>
    </w:p>
    <w:p>
      <w:pPr>
        <w:spacing w:after="80" w:line="276"/>
        <w:ind w:left="240"/>
        <w:jc w:val="both"/>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both"/>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reverses it across modalities,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A synthetic benchmark can then be validated no better than one clinical dataset predicts another.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both"/>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both"/>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both"/>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(Table 1). Online Resource 2 gives the per-method mean Dice and NSD on every image set and the agreement for every pair of image sets in every method set. Online Resource 1 contains Tables S1 to S9 and Fig. S1.</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k6__da-5kf8t9ptpprqok">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et al.: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3glhkmsnhwd4qnop5zdww">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et al.: iTRIALSPACE: Programmable virtual lesion trials for controlled evaluation of lung CT models. arXiv preprint, 2026. </w:t>
      </w:r>
      <w:hyperlink w:history="1" r:id="rIdj-fugxuo0t3rlxz7vojgr">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swkqcvebcl6ismlvgijn0">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a64sos9hxvej8r2-gis1v">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pg5wmxibiv_klm672j793">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Dehghani M, Tay Y, Gritsenko AA et al.: The benchmark lottery. arXiv preprint, 2021. </w:t>
      </w:r>
      <w:hyperlink w:history="1" r:id="rIdodinjmyizj0qwkyp4lzmg">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8. Piérard S, Deliège A, Halin A, Van Droogenbroeck M: A methodology to evaluate strategies predicting rankings on unseen domains. In: 2025 IEEE International Conference on Multimedia and Expo Workshops (ICMEW), pp. 1-6, 2025. </w:t>
      </w:r>
      <w:hyperlink w:history="1" r:id="rId_zaswcwsrv0v3ld26gxwv">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9. Bassi PRAS, Li W, Tang Y et al.: Touchstone benchmark: Are we on the right way for evaluating AI algorithms for medical segmentation? In: Advances in Neural Information Processing Systems 37 (NeurIPS 2024), Datasets and Benchmarks Track, 2024. </w:t>
      </w:r>
      <w:hyperlink w:history="1" r:id="rIdrhhozpasrmljlgsygy_vl">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10. Ali S, Ghatwary N, Jha D et al.: Assessing generalisability of deep learning-based polyp detection and segmentation methods through a computer vision challenge. Scientific Reports 14, 2032, 2024. </w:t>
      </w:r>
      <w:hyperlink w:history="1" r:id="rIdyoyyukizv6lpjlnxrh7kp">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11. Urooj A, Ul Abdien Z, Madan N: Metrics or mirage? An audit of evaluation inconsistencies in colonoscopy polyp segmentation benchmarks. arXiv preprint, 2026. </w:t>
      </w:r>
      <w:hyperlink w:history="1" r:id="rIdoheme6qdow4tfklp8z2h0">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sbuuioq7hzopv0fhlr8e7">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fadxyo7kwl5rx1wtqmcii">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rto2ctkvuk2buivy4ylql">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ulc_igqtz4ej6fotl9gke">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uwel-fnkdy5n4ic6vug7d">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kzdmanhnxz0jmswi_fxfs">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dd1djubdyskcqhr7qugj-">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Zhang G, Dominguez-Olmedo R, Hardt M: Train-before-test harmonizes language model rankings. In: International Conference on Learning Representations (ICLR 2026), 2026. </w:t>
      </w:r>
      <w:hyperlink w:history="1" r:id="rIdtihki2k03mf-e0lfb-mho">
        <w:r>
          <w:rPr>
            <w:rFonts w:ascii="Times New Roman" w:cs="Times New Roman" w:eastAsia="Times New Roman" w:hAnsi="Times New Roman"/>
            <w:color w:val="28598A"/>
            <w:sz w:val="19"/>
            <w:szCs w:val="19"/>
            <w:u w:val="single" w:color="28598A"/>
          </w:rPr>
          <w:t xml:space="preserve">https://arxiv.org/abs/2507.05195</w:t>
        </w:r>
      </w:hyperlink>
    </w:p>
    <w:p>
      <w:pPr>
        <w:spacing w:after="70" w:line="250"/>
        <w:ind w:left="360" w:hanging="360"/>
        <w:jc w:val="left"/>
      </w:pPr>
      <w:r>
        <w:rPr>
          <w:rFonts w:ascii="Times New Roman" w:cs="Times New Roman" w:eastAsia="Times New Roman" w:hAnsi="Times New Roman"/>
          <w:color w:val="000000"/>
          <w:sz w:val="19"/>
          <w:szCs w:val="19"/>
        </w:rPr>
        <w:t xml:space="preserve">20. Teney D, Lin Y, Oh SJ, Abbasnejad E: ID and OOD performance are sometimes inversely correlated on real-world datasets. In: Advances in Neural Information Processing Systems 36 (NeurIPS 2023), 2023. </w:t>
      </w:r>
      <w:hyperlink w:history="1" r:id="rIdrewavw3_1ktee78pem4mm">
        <w:r>
          <w:rPr>
            <w:rFonts w:ascii="Times New Roman" w:cs="Times New Roman" w:eastAsia="Times New Roman" w:hAnsi="Times New Roman"/>
            <w:color w:val="28598A"/>
            <w:sz w:val="19"/>
            <w:szCs w:val="19"/>
            <w:u w:val="single" w:color="28598A"/>
          </w:rPr>
          <w:t xml:space="preserve">https://arxiv.org/abs/2209.00613</w:t>
        </w:r>
      </w:hyperlink>
    </w:p>
    <w:p>
      <w:pPr>
        <w:spacing w:after="70" w:line="250"/>
        <w:ind w:left="360" w:hanging="360"/>
        <w:jc w:val="left"/>
      </w:pPr>
      <w:r>
        <w:rPr>
          <w:rFonts w:ascii="Times New Roman" w:cs="Times New Roman" w:eastAsia="Times New Roman" w:hAnsi="Times New Roman"/>
          <w:color w:val="000000"/>
          <w:sz w:val="19"/>
          <w:szCs w:val="19"/>
        </w:rPr>
        <w:t xml:space="preserve">21.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btkgzsybwzt0hujnudsj-">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22. Fang A, Ilharco G, Wortsman M et al.: Data determines distributional robustness in contrastive language image pre-training (CLIP). In: Proceedings of the 39th International Conference on Machine Learning (ICML 2022), PMLR 162, pp. 6216-6234, 2022. </w:t>
      </w:r>
      <w:hyperlink w:history="1" r:id="rIdmzyilffatwwk4ljycyna8">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23. Simpson EH: The interpretation of interaction in contingency tables. Journal of the Royal Statistical Society Series B: Statistical Methodology 13(2), 238-241, 1951. </w:t>
      </w:r>
      <w:hyperlink w:history="1" r:id="rIda09ooyikuxrmmvhz94hep">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24. Kievit RA, Frankenhuis WE, Waldorp LJ et al.: Simpson's paradox in psychological science: A practical guide. Frontiers in Psychology 4, 513, 2013. </w:t>
      </w:r>
      <w:hyperlink w:history="1" r:id="rId1xl_5hqnyv2j86tzmc1sp">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8tyyvo8trff6ghjfbthha">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71kozvt2kx2rrt1xn2rnc">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6pbpx9mil1bezetssr6cb">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9qfr5qhrmxr2a3b_c_nvm">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gttcf_o88ugfrrj8ith1c">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http://www.medetec.co.uk/files/medetec-image-databases.html.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zxzc9kog3jekytmphw-zs">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l0cnkrzfvv7ibauisulwz">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dv9mxvg0l7za5d6fum6lt">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pln-psvqdaxbgynqexj3n">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qvvizvarhrulyidh0mt5_">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9rd_lkm51j0fqeiert0qh">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0sx_92zds_7oaaamr0auj">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cgo5urlidiv2wuqifijph">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1lkyzn9m8ouv2zri73ole">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ee4lhwktkzkkgh2v7x3bg">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s7k5wknassvjmvxjpxzen">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vn3hrsfvqsv5lrlutjuq_">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dvxooamz6gmyrjvxlptfc">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2oajnwmpwj0htpksspw_4">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kfqjh4l3uvk7mhvmawaic">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f_2qubmywpzbmqqzdnh">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mhyriqb1g4ovdap9uixt6">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8aechjwlk09izy1ceijwa">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dccnsqqztrabu8ylgfm9i">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 EfficientNet: Rethinking model scaling for convolutional neural networks. In: Proceedings of the 36th International Conference on Machine Learning (ICML 2019), PMLR 97, pp. 6105-6114, 2019. </w:t>
      </w:r>
      <w:hyperlink w:history="1" r:id="rId5gsypklth2tvvy4v_lb0b">
        <w:r>
          <w:rPr>
            <w:rFonts w:ascii="Times New Roman" w:cs="Times New Roman" w:eastAsia="Times New Roman" w:hAnsi="Times New Roman"/>
            <w:color w:val="28598A"/>
            <w:sz w:val="19"/>
            <w:szCs w:val="19"/>
            <w:u w:val="single" w:color="28598A"/>
          </w:rPr>
          <w:t xml:space="preserve">https://arxiv.org/abs/1905.11946</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etyirjw1uyxor3ixawb4r">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fdk7lvhlz9_5kzquft0ld">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31qcylvwhp9nr8xlp_dqo">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fuc0ln-dr2vg9tt9ztpp-">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elakl-j1a1lsq5db_8d32">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y9dusn7sqwmo6-e1wtfuk">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homszj_muvdtatbbanwsk">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w6kfdkwkxjtcglt6vjvo3">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onlltsbknvs_xbfbq_ttf">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Islam L: Surgical Vision ROS2: a ROS2 Humble pipeline for intraoperative wound assessment and variable-autonomy arm control. Research Square preprint, 2026. </w:t>
      </w:r>
      <w:hyperlink w:history="1" r:id="rIdfoqclzqupe0snnfhfqvxl">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Deep learning to achieve clinically applicable segmentation of head and neck anatomy for radiotherapy. arXiv preprint, 2018. </w:t>
      </w:r>
      <w:hyperlink w:history="1" r:id="rId3rh8bbr8-tcle3ecwyz-n">
        <w:r>
          <w:rPr>
            <w:rFonts w:ascii="Times New Roman" w:cs="Times New Roman" w:eastAsia="Times New Roman" w:hAnsi="Times New Roman"/>
            <w:color w:val="28598A"/>
            <w:sz w:val="19"/>
            <w:szCs w:val="19"/>
            <w:u w:val="single" w:color="28598A"/>
          </w:rPr>
          <w:t xml:space="preserve">https://arxiv.org/abs/1809.04430</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b6y3nqryx6o4pgdxvh3rd">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dq9lvja4pnethaifzm2sl">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qzmtktck1dc5gs0cz4y1y">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br-bq9tzp7rv9gvyw_ghp">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2019. </w:t>
      </w:r>
      <w:hyperlink w:history="1" r:id="rIdindf02hwy1o3tahpwytwv">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acgrugi5elvet9byhvfeu">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htytwmltxk8ais0mgpgav">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pvmajpo7hhlvesw_axdqw">
        <w:r>
          <w:rPr>
            <w:rFonts w:ascii="Times New Roman" w:cs="Times New Roman" w:eastAsia="Times New Roman" w:hAnsi="Times New Roman"/>
            <w:color w:val="28598A"/>
            <w:sz w:val="19"/>
            <w:szCs w:val="19"/>
            <w:u w:val="single" w:color="28598A"/>
          </w:rPr>
          <w:t xml:space="preserve">https://arxiv.org/abs/2204.11618</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6__da-5kf8t9ptpprqok" Type="http://schemas.openxmlformats.org/officeDocument/2006/relationships/hyperlink" Target="https://doi.org/10.1001/jamanetworkopen.2018.5474" TargetMode="External"/><Relationship Id="rId3glhkmsnhwd4qnop5zdww" Type="http://schemas.openxmlformats.org/officeDocument/2006/relationships/hyperlink" Target="https://doi.org/10.52202/075280-1626" TargetMode="External"/><Relationship Id="rIdj-fugxuo0t3rlxz7vojgr" Type="http://schemas.openxmlformats.org/officeDocument/2006/relationships/hyperlink" Target="https://arxiv.org/abs/2605.05761" TargetMode="External"/><Relationship Id="rIdswkqcvebcl6ismlvgijn0" Type="http://schemas.openxmlformats.org/officeDocument/2006/relationships/hyperlink" Target="https://doi.org/10.1007/978-3-031-73254-6_21" TargetMode="External"/><Relationship Id="rIda64sos9hxvej8r2-gis1v" Type="http://schemas.openxmlformats.org/officeDocument/2006/relationships/hyperlink" Target="https://doi.org/10.1038/s41467-018-07619-7" TargetMode="External"/><Relationship Id="rIdpg5wmxibiv_klm672j793" Type="http://schemas.openxmlformats.org/officeDocument/2006/relationships/hyperlink" Target="https://doi.org/10.1038/s41592-023-02150-0" TargetMode="External"/><Relationship Id="rIdodinjmyizj0qwkyp4lzmg" Type="http://schemas.openxmlformats.org/officeDocument/2006/relationships/hyperlink" Target="https://arxiv.org/abs/2107.07002" TargetMode="External"/><Relationship Id="rId_zaswcwsrv0v3ld26gxwv" Type="http://schemas.openxmlformats.org/officeDocument/2006/relationships/hyperlink" Target="https://doi.org/10.1109/ICMEW68306.2025.11152102" TargetMode="External"/><Relationship Id="rIdrhhozpasrmljlgsygy_vl" Type="http://schemas.openxmlformats.org/officeDocument/2006/relationships/hyperlink" Target="https://arxiv.org/abs/2411.03670" TargetMode="External"/><Relationship Id="rIdyoyyukizv6lpjlnxrh7kp" Type="http://schemas.openxmlformats.org/officeDocument/2006/relationships/hyperlink" Target="https://doi.org/10.1038/s41598-024-52063-x" TargetMode="External"/><Relationship Id="rIdoheme6qdow4tfklp8z2h0" Type="http://schemas.openxmlformats.org/officeDocument/2006/relationships/hyperlink" Target="https://arxiv.org/abs/2607.08203" TargetMode="External"/><Relationship Id="rIdsbuuioq7hzopv0fhlr8e7" Type="http://schemas.openxmlformats.org/officeDocument/2006/relationships/hyperlink" Target="https://doi.org/10.1109/IJCB54206.2022.10007952" TargetMode="External"/><Relationship Id="rIdfadxyo7kwl5rx1wtqmcii" Type="http://schemas.openxmlformats.org/officeDocument/2006/relationships/hyperlink" Target="https://arxiv.org/abs/2607.14932" TargetMode="External"/><Relationship Id="rIdrto2ctkvuk2buivy4ylql" Type="http://schemas.openxmlformats.org/officeDocument/2006/relationships/hyperlink" Target="https://arxiv.org/abs/2310.16052" TargetMode="External"/><Relationship Id="rIdulc_igqtz4ej6fotl9gke" Type="http://schemas.openxmlformats.org/officeDocument/2006/relationships/hyperlink" Target="https://doi.org/10.52202/075280-0091" TargetMode="External"/><Relationship Id="rIduwel-fnkdy5n4ic6vug7d" Type="http://schemas.openxmlformats.org/officeDocument/2006/relationships/hyperlink" Target="https://arxiv.org/abs/2105.00717" TargetMode="External"/><Relationship Id="rIdkzdmanhnxz0jmswi_fxfs" Type="http://schemas.openxmlformats.org/officeDocument/2006/relationships/hyperlink" Target="https://arxiv.org/abs/2606.29232" TargetMode="External"/><Relationship Id="rIddd1djubdyskcqhr7qugj-" Type="http://schemas.openxmlformats.org/officeDocument/2006/relationships/hyperlink" Target="https://arxiv.org/abs/2407.13696" TargetMode="External"/><Relationship Id="rIdtihki2k03mf-e0lfb-mho" Type="http://schemas.openxmlformats.org/officeDocument/2006/relationships/hyperlink" Target="https://arxiv.org/abs/2507.05195" TargetMode="External"/><Relationship Id="rIdrewavw3_1ktee78pem4mm" Type="http://schemas.openxmlformats.org/officeDocument/2006/relationships/hyperlink" Target="https://arxiv.org/abs/2209.00613" TargetMode="External"/><Relationship Id="rIdbtkgzsybwzt0hujnudsj-" Type="http://schemas.openxmlformats.org/officeDocument/2006/relationships/hyperlink" Target="https://arxiv.org/abs/2107.04649" TargetMode="External"/><Relationship Id="rIdmzyilffatwwk4ljycyna8" Type="http://schemas.openxmlformats.org/officeDocument/2006/relationships/hyperlink" Target="https://proceedings.mlr.press/v162/fang22a.html" TargetMode="External"/><Relationship Id="rIda09ooyikuxrmmvhz94hep" Type="http://schemas.openxmlformats.org/officeDocument/2006/relationships/hyperlink" Target="https://doi.org/10.1111/j.2517-6161.1951.tb00088.x" TargetMode="External"/><Relationship Id="rId1xl_5hqnyv2j86tzmc1sp" Type="http://schemas.openxmlformats.org/officeDocument/2006/relationships/hyperlink" Target="https://doi.org/10.3389/fpsyg.2013.00513" TargetMode="External"/><Relationship Id="rId8tyyvo8trff6ghjfbthha" Type="http://schemas.openxmlformats.org/officeDocument/2006/relationships/hyperlink" Target="https://doi.org/10.1109/ACCESS.2024.3502467" TargetMode="External"/><Relationship Id="rId71kozvt2kx2rrt1xn2rnc" Type="http://schemas.openxmlformats.org/officeDocument/2006/relationships/hyperlink" Target="https://arxiv.org/abs/2607.02555" TargetMode="External"/><Relationship Id="rId6pbpx9mil1bezetssr6cb" Type="http://schemas.openxmlformats.org/officeDocument/2006/relationships/hyperlink" Target="https://proceedings.mlsys.org/paper_files/paper/2021/hash/0184b0cd3cfb185989f858a1d9f5c1eb-Abstract.html" TargetMode="External"/><Relationship Id="rId9qfr5qhrmxr2a3b_c_nvm" Type="http://schemas.openxmlformats.org/officeDocument/2006/relationships/hyperlink" Target="https://doi.org/10.1038/s41746-022-00592-y" TargetMode="External"/><Relationship Id="rIdgttcf_o88ugfrrj8ith1c" Type="http://schemas.openxmlformats.org/officeDocument/2006/relationships/hyperlink" Target="https://proceedings.mlr.press/v70/guo17a.html" TargetMode="External"/><Relationship Id="rIdzxzc9kog3jekytmphw-zs" Type="http://schemas.openxmlformats.org/officeDocument/2006/relationships/hyperlink" Target="https://doi.org/10.48550/arXiv.2408.10827" TargetMode="External"/><Relationship Id="rIdl0cnkrzfvv7ibauisulwz" Type="http://schemas.openxmlformats.org/officeDocument/2006/relationships/hyperlink" Target="https://doi.org/10.3390/info15030140" TargetMode="External"/><Relationship Id="rIddv9mxvg0l7za5d6fum6lt" Type="http://schemas.openxmlformats.org/officeDocument/2006/relationships/hyperlink" Target="https://doi.org/10.1038/s41598-020-78799-w" TargetMode="External"/><Relationship Id="rIdpln-psvqdaxbgynqexj3n" Type="http://schemas.openxmlformats.org/officeDocument/2006/relationships/hyperlink" Target="https://doi.org/10.1007/978-3-030-37734-2_37" TargetMode="External"/><Relationship Id="rIdqvvizvarhrulyidh0mt5_" Type="http://schemas.openxmlformats.org/officeDocument/2006/relationships/hyperlink" Target="https://doi.org/10.1016/j.compmedimag.2015.02.007" TargetMode="External"/><Relationship Id="rId9rd_lkm51j0fqeiert0qh" Type="http://schemas.openxmlformats.org/officeDocument/2006/relationships/hyperlink" Target="https://doi.org/10.1016/j.patcog.2012.03.002" TargetMode="External"/><Relationship Id="rId0sx_92zds_7oaaamr0auj" Type="http://schemas.openxmlformats.org/officeDocument/2006/relationships/hyperlink" Target="https://doi.org/10.1007/s11548-013-0926-3" TargetMode="External"/><Relationship Id="rIdcgo5urlidiv2wuqifijph" Type="http://schemas.openxmlformats.org/officeDocument/2006/relationships/hyperlink" Target="https://doi.org/10.1109/EMBC.2013.6610779" TargetMode="External"/><Relationship Id="rId1lkyzn9m8ouv2zri73ole" Type="http://schemas.openxmlformats.org/officeDocument/2006/relationships/hyperlink" Target="https://doi.org/10.1109/ISBI48211.2021.9434087" TargetMode="External"/><Relationship Id="rIdee4lhwktkzkkgh2v7x3bg" Type="http://schemas.openxmlformats.org/officeDocument/2006/relationships/hyperlink" Target="https://github.com/qubvel-org/segmentation_models.pytorch" TargetMode="External"/><Relationship Id="rIds7k5wknassvjmvxjpxzen" Type="http://schemas.openxmlformats.org/officeDocument/2006/relationships/hyperlink" Target="https://doi.org/10.1007/978-3-319-24574-4_28" TargetMode="External"/><Relationship Id="rIdvn3hrsfvqsv5lrlutjuq_" Type="http://schemas.openxmlformats.org/officeDocument/2006/relationships/hyperlink" Target="https://doi.org/10.1007/978-3-030-00889-5_1" TargetMode="External"/><Relationship Id="rIddvxooamz6gmyrjvxlptfc" Type="http://schemas.openxmlformats.org/officeDocument/2006/relationships/hyperlink" Target="https://doi.org/10.1007/978-3-030-01234-2_49" TargetMode="External"/><Relationship Id="rId2oajnwmpwj0htpksspw_4" Type="http://schemas.openxmlformats.org/officeDocument/2006/relationships/hyperlink" Target="https://doi.org/10.1109/CVPR.2017.106" TargetMode="External"/><Relationship Id="rIdkfqjh4l3uvk7mhvmawaic" Type="http://schemas.openxmlformats.org/officeDocument/2006/relationships/hyperlink" Target="https://doi.org/10.1109/CVPR.2017.660" TargetMode="External"/><Relationship Id="rId--f_2qubmywpzbmqqzdnh" Type="http://schemas.openxmlformats.org/officeDocument/2006/relationships/hyperlink" Target="https://doi.org/10.1109/VCIP.2017.8305148" TargetMode="External"/><Relationship Id="rIdmhyriqb1g4ovdap9uixt6" Type="http://schemas.openxmlformats.org/officeDocument/2006/relationships/hyperlink" Target="https://doi.org/10.1109/ACCESS.2020.3025372" TargetMode="External"/><Relationship Id="rId8aechjwlk09izy1ceijwa" Type="http://schemas.openxmlformats.org/officeDocument/2006/relationships/hyperlink" Target="https://doi.org/10.1109/CVPR.2016.90" TargetMode="External"/><Relationship Id="rIddccnsqqztrabu8ylgfm9i" Type="http://schemas.openxmlformats.org/officeDocument/2006/relationships/hyperlink" Target="https://doi.org/10.1109/CVPR.2018.00474" TargetMode="External"/><Relationship Id="rId5gsypklth2tvvy4v_lb0b" Type="http://schemas.openxmlformats.org/officeDocument/2006/relationships/hyperlink" Target="https://arxiv.org/abs/1905.11946" TargetMode="External"/><Relationship Id="rIdetyirjw1uyxor3ixawb4r" Type="http://schemas.openxmlformats.org/officeDocument/2006/relationships/hyperlink" Target="https://arxiv.org/abs/2105.15203" TargetMode="External"/><Relationship Id="rIdfdk7lvhlz9_5kzquft0ld" Type="http://schemas.openxmlformats.org/officeDocument/2006/relationships/hyperlink" Target="https://doi.org/10.1109/CVPR.2009.5206848" TargetMode="External"/><Relationship Id="rId31qcylvwhp9nr8xlp_dqo" Type="http://schemas.openxmlformats.org/officeDocument/2006/relationships/hyperlink" Target="https://doi.org/10.1109/ICCV48922.2021.00986" TargetMode="External"/><Relationship Id="rIdfuc0ln-dr2vg9tt9ztpp-" Type="http://schemas.openxmlformats.org/officeDocument/2006/relationships/hyperlink" Target="https://doi.org/10.1007/978-3-030-01228-1_26" TargetMode="External"/><Relationship Id="rIdelakl-j1a1lsq5db_8d32" Type="http://schemas.openxmlformats.org/officeDocument/2006/relationships/hyperlink" Target="https://doi.org/10.1109/CVPR52688.2022.01167" TargetMode="External"/><Relationship Id="rIdy9dusn7sqwmo6-e1wtfuk" Type="http://schemas.openxmlformats.org/officeDocument/2006/relationships/hyperlink" Target="https://doi.org/10.1109/CVPR42600.2020.01044" TargetMode="External"/><Relationship Id="rIdhomszj_muvdtatbbanwsk" Type="http://schemas.openxmlformats.org/officeDocument/2006/relationships/hyperlink" Target="https://doi.org/10.1038/s41592-020-01008-z" TargetMode="External"/><Relationship Id="rIdw6kfdkwkxjtcglt6vjvo3" Type="http://schemas.openxmlformats.org/officeDocument/2006/relationships/hyperlink" Target="https://doi.org/10.1109/ICCV51070.2023.00371" TargetMode="External"/><Relationship Id="rIdonlltsbknvs_xbfbq_ttf" Type="http://schemas.openxmlformats.org/officeDocument/2006/relationships/hyperlink" Target="https://doi.org/10.1038/s41467-024-44824-z" TargetMode="External"/><Relationship Id="rIdfoqclzqupe0snnfhfqvxl" Type="http://schemas.openxmlformats.org/officeDocument/2006/relationships/hyperlink" Target="https://doi.org/10.21203/rs.3.rs-10362132/v1" TargetMode="External"/><Relationship Id="rId3rh8bbr8-tcle3ecwyz-n" Type="http://schemas.openxmlformats.org/officeDocument/2006/relationships/hyperlink" Target="https://arxiv.org/abs/1809.04430" TargetMode="External"/><Relationship Id="rIdb6y3nqryx6o4pgdxvh3rd" Type="http://schemas.openxmlformats.org/officeDocument/2006/relationships/hyperlink" Target="https://doi.org/10.1038/s41598-021-82017-6" TargetMode="External"/><Relationship Id="rIddq9lvja4pnethaifzm2sl" Type="http://schemas.openxmlformats.org/officeDocument/2006/relationships/hyperlink" Target="https://doi.org/10.1007/978-3-031-72117-5_12" TargetMode="External"/><Relationship Id="rIdqzmtktck1dc5gs0cz4y1y" Type="http://schemas.openxmlformats.org/officeDocument/2006/relationships/hyperlink" Target="https://doi.org/10.1109/IROS.2017.8202133" TargetMode="External"/><Relationship Id="rIdbr-bq9tzp7rv9gvyw_ghp" Type="http://schemas.openxmlformats.org/officeDocument/2006/relationships/hyperlink" Target="https://doi.org/10.1109/CVPRW.2018.00143" TargetMode="External"/><Relationship Id="rIdindf02hwy1o3tahpwytwv" Type="http://schemas.openxmlformats.org/officeDocument/2006/relationships/hyperlink" Target="https://doi.org/10.1109/ICRA.2019.8794443" TargetMode="External"/><Relationship Id="rIdacgrugi5elvet9byhvfeu" Type="http://schemas.openxmlformats.org/officeDocument/2006/relationships/hyperlink" Target="https://arxiv.org/abs/2302.05432" TargetMode="External"/><Relationship Id="rIdhtytwmltxk8ais0mgpgav" Type="http://schemas.openxmlformats.org/officeDocument/2006/relationships/hyperlink" Target="https://doi.org/10.1109/CVPR.2011.5995347" TargetMode="External"/><Relationship Id="rIdpvmajpo7hhlvesw_axdqw" Type="http://schemas.openxmlformats.org/officeDocument/2006/relationships/hyperlink" Target="https://arxiv.org/abs/2204.11618" TargetMode="External"/><Relationship Id="rId7" Type="http://schemas.openxmlformats.org/officeDocument/2006/relationships/image" Target="media/1d80a1c12a62ae84692f41a464d81780eb8a9ffc.png"/><Relationship Id="rId8" Type="http://schemas.openxmlformats.org/officeDocument/2006/relationships/image" Target="media/c4ed96dc87091a345edd610a0a86237cf2526d8e.png"/><Relationship Id="rId9" Type="http://schemas.openxmlformats.org/officeDocument/2006/relationships/image" Target="media/cea05960796fd1c90ff31bc45ceb5c981ffe730d.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 pool, clinical reference and training seed shape the measured validity of synthetic segmentation benchmarks: a study in wound imaging</dc:title>
  <cp:lastModifiedBy>Un-named</cp:lastModifiedBy>
  <cp:revision>1</cp:revision>
  <dcterms:created xsi:type="dcterms:W3CDTF">2026-10-16T14:16:31.586Z</dcterms:created>
  <dcterms:modified xsi:type="dcterms:W3CDTF">2026-10-16T14:16:31.586Z</dcterms:modified>
</cp:coreProperties>
</file>

<file path=docProps/custom.xml><?xml version="1.0" encoding="utf-8"?>
<Properties xmlns="http://schemas.openxmlformats.org/officeDocument/2006/custom-properties" xmlns:vt="http://schemas.openxmlformats.org/officeDocument/2006/docPropsVTypes"/>
</file>