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Validating a synthetic segmentation benchmark by rank correlation: how the methods compared, the clinical reference and training noise change the answer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left"/>
      </w:pPr>
      <w:r>
        <w:rPr>
          <w:rFonts w:ascii="Times New Roman" w:cs="Times New Roman" w:eastAsia="Times New Roman" w:hAnsi="Times New Roman"/>
          <w:color w:val="000000"/>
          <w:sz w:val="22"/>
          <w:szCs w:val="22"/>
        </w:rPr>
        <w:t xml:space="preserve">Synthetic test sets for medical image segmentation are often validated by showing that they rank methods like a clinical dataset. We measured how this correlation depends on the methods compared, the clinical reference and training noise. We scored 65 methods on 11 public clinical datasets in four modalities and on synthetic wound images: 18 untrained classical methods, 14 methods trained from scratch on wound photographs, the same 14 trained on colonoscopy, and 19 modern models (18 ImageNet-pretrained architectures with up to three training seeds, and nnU-Net). Agreement was the Spearman correlation of per-method mean Dice. Pooling classical and modern methods made four wound datasets agree at 0.82, although they agreed at 0.35 among the classical and 0.21 among the modern methods. A synthetic benchmark agreed with the wound datasets at 0.65 over the pooled methods but at 0.21 among the modern models, where it could not be shown to be better or worse than another wound dataset. Two training seeds of the same architectures agreed at only 0.44 on the same wound dataset. The model ranked first on the test set from the training clinic lost 0.101 Dice on average on other wound datasets, against 0.075 for a random choice. On the AZH dataset the pretrained models, run on images resized to 256 pixels, missed 28.7% of wounds on average, against 1.5% for nnU-Net at native resolution. Validity should be reported within the group of methods to be compared, against several clinical datasets.</w:t>
      </w:r>
    </w:p>
    <w:p>
      <w:pPr>
        <w:spacing w:after="200" w:line="276"/>
        <w:jc w:val="left"/>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left"/>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[5–7], with the choice of benchmark [8, 9] and with the hospital the test data come from [10, 11].</w:t>
      </w:r>
    </w:p>
    <w:p>
      <w:pPr>
        <w:spacing w:after="140" w:line="276"/>
        <w:jc w:val="left"/>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a similar basis [14–16], and in computed tomography (CT) the transfer of rankings from synthetic to real data has been shown to depend on the task [17]. Such a correlation is computed over a particular set of methods, which we call the method pool, and we call a benchmark's rank agreement with clinical data its measured validity. Outside medical imaging it is established that agreement between benchmarks depends on which models are compared [18], and that the correlation between in-distribution and out-of-distribution performance depends on how the models were selected and trained [19–21]. When groups of methods change order between domains, pooling them produces correlations that hold in neither group, a form of Simpson's paradox [22, 23].</w:t>
      </w:r>
    </w:p>
    <w:p>
      <w:pPr>
        <w:spacing w:after="140" w:line="276"/>
        <w:jc w:val="left"/>
      </w:pPr>
      <w:r>
        <w:rPr>
          <w:rFonts w:ascii="Times New Roman" w:cs="Times New Roman" w:eastAsia="Times New Roman" w:hAnsi="Times New Roman"/>
          <w:color w:val="000000"/>
          <w:sz w:val="22"/>
          <w:szCs w:val="22"/>
        </w:rPr>
        <w:t xml:space="preserve">Medical segmentation studies often pool exactly such groups. Wound segmentation work, for example, spans classical colour and threshold methods and trained networks [24], and recent wound studies compare several deep architectures across datasets [25, 26]. A synthetic benchmark validated over a pool that mixes such groups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training noise limits how closely two datasets can be expected to agree on an order.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left"/>
      </w:pPr>
      <w:r>
        <w:rPr>
          <w:rFonts w:ascii="Times New Roman" w:cs="Times New Roman" w:eastAsia="Times New Roman" w:hAnsi="Times New Roman"/>
          <w:color w:val="000000"/>
          <w:sz w:val="22"/>
          <w:szCs w:val="22"/>
        </w:rPr>
        <w:t xml:space="preserve">We scored 65 methods in four groups, each with one training regime, on 11 clinical datasets from eight sources in four modalities and on synthetic wound benchmarks from three generator families. The modern group contains 18 ImageNet-pretrained architectures, each trained with up to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left"/>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0.35 and 0.21 within the groups to 0.82, and an exact identity shows that ranking methods within their groups before pooling returns the size-weighted average of the within-group agreements.</w:t>
      </w:r>
    </w:p>
    <w:p>
      <w:pPr>
        <w:spacing w:after="80" w:line="276"/>
        <w:ind w:left="240"/>
        <w:jc w:val="left"/>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within one pool.</w:t>
      </w:r>
    </w:p>
    <w:p>
      <w:pPr>
        <w:spacing w:after="80" w:line="276"/>
        <w:ind w:left="240"/>
        <w:jc w:val="left"/>
      </w:pPr>
      <w:r>
        <w:rPr>
          <w:rFonts w:ascii="Times New Roman" w:cs="Times New Roman" w:eastAsia="Times New Roman" w:hAnsi="Times New Roman"/>
          <w:color w:val="000000"/>
          <w:sz w:val="22"/>
          <w:szCs w:val="22"/>
        </w:rPr>
        <w:t xml:space="preserve">3. Evidence from 18 architectures with up to three training seeds that rankings of modern models on wound data are dominated by small differences and training noise, with the consequences for model selection, including selection on a test set from the training clinic,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left"/>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validation set of the Foot Ulcer Segmentation (FUSeg) challenge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left"/>
      </w:pPr>
      <w:r>
        <w:rPr>
          <w:rFonts w:ascii="Times New Roman" w:cs="Times New Roman" w:eastAsia="Times New Roman" w:hAnsi="Times New Roman"/>
          <w:color w:val="000000"/>
          <w:sz w:val="22"/>
          <w:szCs w:val="22"/>
        </w:rPr>
        <w:t xml:space="preserve">The FUSeg reference is the first 120 validation images and the AZH reference the first 150 test images, sorted by file name; Medetec is used in full. 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146 AZH test images and 78 control images are crops of 118 and 71 photographs. The photograph is therefore the resampling unit for these three sets in every analysis, and the image for all others.</w:t>
      </w:r>
    </w:p>
    <w:p>
      <w:pPr>
        <w:spacing w:after="140" w:line="276"/>
        <w:jc w:val="left"/>
      </w:pPr>
      <w:r>
        <w:rPr>
          <w:rFonts w:ascii="Times New Roman" w:cs="Times New Roman" w:eastAsia="Times New Roman" w:hAnsi="Times New Roman"/>
          <w:color w:val="000000"/>
          <w:sz w:val="22"/>
          <w:szCs w:val="22"/>
        </w:rPr>
        <w:t xml:space="preserve">Duplicated and overlapping evaluation images were removed before any analysis. In FUSeg, 8 validation images are byte-identical to FUSeg training images (7) or to another validation image (1). FUSeg and AZH come from the same clinic, so every AZH test image and every control image was compared with all 1,010 FUSeg photographs (810 training, 200 validation) by feature matching: scale-invariant feature transform (SIFT) keypoints, a ratio test at 0.75, and a similarity transform fitted by random sample consensus (RANSAC), with at least 25 geometrically consistent keypoints counting as a match. The rule for removal was the same for every set: an evaluation image was removed if it is a copy or a crop of a photograph used elsewhere in this study, that is a FUSeg training image used for training or threshold tuning, or an image of another evaluation set. Of the 150 AZH test images, 61 are crops of FUSeg photographs; 4 of these were cut from training images and were removed, and the other 57 come from FUSeg photographs that no model saw and that are not among the FUSeg reference images, so they were kept, leaving 146. Of the 150 control images, 70 are crops of FUSeg photographs used in this study (51 from its training split and 19 from the validation images used as reference), and 2 more are pixel-identical to AZH test images; they were removed, leaving 78. One further control image is a crop of a FUSeg photograph used nowhere in the study (a duplicate removed from both the training and the reference images) and was kept. A fifth wound dataset (WoundSeg) was prepared but excluded before any method was scored on it, because 322 of its 2,686 masks did not match the size of their image, so the pairing of images and masks could not be trusted. The exclusions and the overlap check are listed in Online Resource 1 (Tables S9a and S9e).</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and overlapping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146</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78</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left"/>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classical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These ten are U-Net [41], U-Net++ [42], DeepLabV3+ [43], FPN [44], PSPNet [45], LinkNet [46] and MA-Net [47] on ResNet-18 [48], U-Net on MobileNetV2 [49] and EfficientNet-B0 [50], and SegFormer on MiT-B0 [51].</w:t>
      </w:r>
    </w:p>
    <w:p>
      <w:pPr>
        <w:spacing w:after="100" w:line="276"/>
        <w:jc w:val="left"/>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The threshold of one logistic regression was tuned on images 250 to 399 (best value 0.90), and this value was used for all three pixel classifiers. The small U-Net uses a threshold of 0.5. The ten architectures were trained on images 0 to 392 at 128 by 128 pixels for 30 epochs (Dice plus binary cross-entropy, Adam, learning rate 0.001, horizontal flips), and each threshold was tuned on images 400 to 549. The Kvasir-trained group (K) repeats this protocol exactly on Kvasir-SEG images that appear in neither Kvasir reference nor the sessile subset (pixel threshold 0.60).</w:t>
      </w:r>
    </w:p>
    <w:p>
      <w:pPr>
        <w:spacing w:after="100" w:line="276"/>
        <w:jc w:val="left"/>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of the 810 FUSeg training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rotations by multiples of a right angle, and mixed-precision arithmetic with gradient scaling. Each model's decision threshold was chosen on a grid from 0.05 to 0.90 in steps of 0.05 to maximise mean Dice on 148 held-out FUSeg training images (images 400 to 549 without two duplicates of evaluation images); this held-out Dice is optimistic, because the threshold was tuned on the same images. Held-out Dice of the 51 individual models ranged from 0.75 to 0.84.</w:t>
      </w:r>
    </w:p>
    <w:p>
      <w:pPr>
        <w:spacing w:after="100" w:line="276"/>
        <w:jc w:val="left"/>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session on a graphics processing unit (GPU); seeds 1 and 2 of these and all seeds of the eight new architectures were trained in a second session with the same training code. The second session recorded segmentation_models_pytorch 0.5.0, timm 1.0.22 and PyTorch 2.11.0; the first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left"/>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S9b).</w:t>
      </w:r>
    </w:p>
    <w:p>
      <w:pPr>
        <w:spacing w:after="100" w:line="276"/>
        <w:jc w:val="left"/>
      </w:pPr>
      <w:r>
        <w:rPr>
          <w:rFonts w:ascii="Times New Roman" w:cs="Times New Roman" w:eastAsia="Times New Roman" w:hAnsi="Times New Roman"/>
          <w:color w:val="000000"/>
          <w:sz w:val="22"/>
          <w:szCs w:val="22"/>
        </w:rPr>
        <w:t xml:space="preserve">The Segment Anything Model (SAM) [58] and its medical version MedSAM [59] were also run, with box prompts taken from the reference masks. Because those prompts give them the lesion location, they are reported only in Online Resource 1 (Table S8) and are not part of any method set.</w:t>
      </w:r>
    </w:p>
    <w:p>
      <w:pPr>
        <w:spacing w:after="140" w:line="276"/>
        <w:jc w:val="left"/>
      </w:pPr>
      <w:r>
        <w:rPr>
          <w:rFonts w:ascii="Times New Roman" w:cs="Times New Roman" w:eastAsia="Times New Roman" w:hAnsi="Times New Roman"/>
          <w:color w:val="000000"/>
          <w:sz w:val="22"/>
          <w:szCs w:val="22"/>
        </w:rPr>
        <w:t xml:space="preserve">In the main post-processing pipeline (P0), 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up to 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left"/>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left"/>
      </w:pPr>
      <w:r>
        <w:rPr>
          <w:rFonts w:ascii="Times New Roman" w:cs="Times New Roman" w:eastAsia="Times New Roman" w:hAnsi="Times New Roman"/>
          <w:color w:val="000000"/>
          <w:sz w:val="22"/>
          <w:szCs w:val="22"/>
        </w:rPr>
        <w:t xml:space="preserve">Each method is scored per image with the Dice similarity coefficient (Dice) between its mask and the reference mask. Agreement between two image sets is the Spearman correlation between their vectors of per-method mean Dice over a given set of methods: a rank correlation, so 1 means that the two image sets order the methods identically and 0 means no relation.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whose mean we call wound-pair agreement),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the share of the predicted and reference boundaries that lie within a tolerance of each other, at 2 pixels [61], and with the images whose reference mask is empty excluded.</w:t>
      </w:r>
    </w:p>
    <w:p>
      <w:pPr>
        <w:spacing w:after="100" w:line="276"/>
        <w:jc w:val="left"/>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relabelling (52 pairs). The test treats the method set and the images as fixed. For pooled sets it shows that pooling produces apparent modality structure, not evidence that such structure exists.</w:t>
      </w:r>
    </w:p>
    <w:p>
      <w:pPr>
        <w:spacing w:after="140" w:line="276"/>
        <w:jc w:val="left"/>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These intervals show how much agreement depends on which methods of each kind are included, treating the methods as a sample of comparable methods. Spearman correlations use average ranks for ties, which occur when a method is drawn more than once; with 7 to 19 methods a draw contains few distinct methods, so these intervals are approximate. The hierarchical bootstrap also resamples the units of every dataset independently (1,000 draws for the clinical and seed analyses; 2,000 for the synthetic-benchmark analyses, which also resample the synthetic images), using photographs as units for Medetec (38 photographs), AZH (118) and the control (71), and images for the other datasets. Resampling units adds noise to every method mean and so pulls a single agreement value towards zero in each draw. Hierarchical intervals are therefore conservative for claims that a single agreement value exceeds zero, but not for claims that agreement is low, and not for differences in which one term shares images across seeds (see the training-seed analyses). Intervals in the text are method-bootstrap intervals unless marked hierarchical; miss-rate intervals resample units only, and seed-analysis intervals resample architectures. Analyses of the synthetic benchmarks that involve untrained or from-scratch methods use the method bootstrap only, because per-image synthetic scores exist only for the GPU-trained groups. Image sampling within a dataset was also summarised by split-half reliability, an estimate of how well a new set of images from the same dataset would rank the methods again: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60" w:line="276"/>
        <w:jc w:val="left"/>
      </w:pPr>
      <w:r>
        <w:rPr>
          <w:rFonts w:ascii="Times New Roman" w:cs="Times New Roman" w:eastAsia="Times New Roman" w:hAnsi="Times New Roman"/>
          <w:color w:val="000000"/>
          <w:sz w:val="22"/>
          <w:szCs w:val="22"/>
        </w:rPr>
        <w:t xml:space="preserve">Stratified agreement ranks methods within their own group first and then pools them. Within each group g of size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 method's mean on a dataset is replaced by its within-group percentile (r − 0.5)/n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r is its rank in the group, and agreement is the Pearson correlation of these percentiles over the pooled set of N =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methods. The percentiles have mean 1/2 in every group, so the pooled mean is also 1/2 and the between-group part of the pooled covariance is zero. The pooled covariance of the percentiles on datasets A and B is therefore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each pooled variance is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are the covariance and variance within group g. Without ties,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)/12 on every dataset, and within a group the correlation of percentiles is the Spearman correlation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Hence</w:t>
      </w:r>
    </w:p>
    <w:p>
      <w:pPr>
        <w:spacing w:after="60" w:line="276"/>
        <w:jc w:val="center"/>
      </w:pPr>
      <w:r>
        <w:rPr>
          <w:rFonts w:ascii="Times New Roman" w:cs="Times New Roman" w:eastAsia="Times New Roman" w:hAnsi="Times New Roman"/>
          <w:color w:val="000000"/>
          <w:sz w:val="22"/>
          <w:szCs w:val="22"/>
        </w:rPr>
        <w:t xml:space="preserve">stratified agreement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with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w:t>
      </w:r>
    </w:p>
    <w:p>
      <w:pPr>
        <w:spacing w:after="140" w:line="276"/>
        <w:jc w:val="left"/>
      </w:pPr>
      <w:r>
        <w:rPr>
          <w:rFonts w:ascii="Times New Roman" w:cs="Times New Roman" w:eastAsia="Times New Roman" w:hAnsi="Times New Roman"/>
          <w:color w:val="000000"/>
          <w:sz w:val="22"/>
          <w:szCs w:val="22"/>
        </w:rPr>
        <w:t xml:space="preserve">a size-weighted average of the within-group agreements: the pooled within-group correlation, applied to within-group ranks. The weights do not depend on the pair, so the identity also holds for means over pairs. It holds exactly when no two methods in a group have the same mean on either dataset. With ties, each group is weighted by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times the square root of its two percentile variances, and the weights then depend on the pair. In our data ties occur only on TN3K and PH2; there the Pearson value differs from the weighted average by at most 0.006 for a single pair and by at most 0.001 for a mean over pairs, and for the wound pairs the identity is exact. Stratified agreement thus adds no information beyond the within-group agreements; what it shows is how much of a pooled value comes from differences in level between groups.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00" w:line="276"/>
        <w:jc w:val="left"/>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scored on the same images do. Because the two seeds share their test images, the gap also contains image-sampling noise and is an upper bound on the part of the disagreement due to the datasets; and because both seeds share one resample of units in each hierarchical draw, hierarchical intervals for the gap are shifted upwards rather than towards zero. We also compared wound-pair agreement at single seeds (mean over the three seeds) with agreement of the seed averages, and set the spread of architecture means on each dataset against the seed-to-seed standard deviation of one architecture's mean (pooled over the 16 architectures). The reliability of an architecture's mean Dice was summarised by a one-way random-effects intraclass correlation (ICC) over the 16 architectures: with W the mean seed variance and T the variance of the three-seed means minus W/3, the ICC is T/(T + W) for one seed and T divided by the variance of the three-seed means for a three-seed average. Intervals resample architectures (2,000 draws); hierarchical intervals also resample units (1,000 draws).</w:t>
      </w:r>
    </w:p>
    <w:p>
      <w:pPr>
        <w:spacing w:after="140" w:line="276"/>
        <w:jc w:val="left"/>
      </w:pPr>
      <w:r>
        <w:rPr>
          <w:rFonts w:ascii="Times New Roman" w:cs="Times New Roman" w:eastAsia="Times New Roman" w:hAnsi="Times New Roman"/>
          <w:color w:val="000000"/>
          <w:sz w:val="22"/>
          <w:szCs w:val="22"/>
        </w:rPr>
        <w:t xml:space="preserve">One reading rule was written down after the new models had been trained and scored, but before any seed analysis was run (the pre-specified rule). The statement that modern models disagree across wound datasets because the datasets differ, not because of training noise, would be supported if same-dataset cross-seed agreement exceeded 0.7 while cross-dataset agreement stayed near 0.1 to 0.3. If cross-seed agreement were as low as cross-dataset agreement, the modern models would be treated as not distinguishable. The seed analyses are detailed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left"/>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wound-pair agreement. The texture effect is benchmark agreement at amplitude 40 minus agreement at amplitude 11. Benchmark agreement was also computed for single-seed versions of the original architectures, of the new architectures and of the full modern group, in which every architecture is represented by its model at one training seed; only the full single-seed modern group also includes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left"/>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candidates are the seed-averaged architectures and nnU-Net, and, because a seed average is not the output of any model, also the single-seed models of each training seed. The synthetic chooser picks the candidate with the highest mean Dice on generator B (mean over synthetic seeds). Selection losses are small Dice differences and are given to three decimals; their intervals resample the units of each dataset with the candidates fixed (2,000 draws). A miss is a non-empty reference mask segmented with Dice below 0.1. Miss rates were computed for every individual trained model and averaged over seeds per architecture; their intervals resample units (2,000 draws) with the models fixed. To look for the cause of the misses on AZH we related, for each image, the share of pretrained models that miss it to its share of black padding pixels (every colour channel at most 8) and to its lesion fraction, and we measured from the feature matches the scale of AZH crops relative to the FUSeg photographs they were cut from.</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left"/>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reduce calibration differences, that is differences between models in the level of their output probabilities.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Primary and exploratory analyses</w:t>
      </w:r>
    </w:p>
    <w:p>
      <w:pPr>
        <w:spacing w:after="140" w:line="276"/>
        <w:jc w:val="left"/>
      </w:pPr>
      <w:r>
        <w:rPr>
          <w:rFonts w:ascii="Times New Roman" w:cs="Times New Roman" w:eastAsia="Times New Roman" w:hAnsi="Times New Roman"/>
          <w:color w:val="000000"/>
          <w:sz w:val="22"/>
          <w:szCs w:val="22"/>
        </w:rPr>
        <w:t xml:space="preserve">Two analyses were planned as primary. The composition effect was assessed with the paired method-bootstrap interval of pooled agreement minus the higher within-group agreement, and the modality structure within groups with the exact relabelling test. The modern group was redefined from 11 to 19 methods when the additional trainings became available, before the analyses reported here were run. With 7 method sets tested, every modality difference in Table 3 remains significant at the 5% level after Holm correction (largest adjusted p 0.0092). All other analyses, including the training-seed, benchmark, selection and robustness analyses, are exploratory; they are reported with intervals and are not corrected for multiple comparisons.</w:t>
      </w:r>
    </w:p>
    <w:p>
      <w:pPr>
        <w:spacing w:after="140" w:line="276"/>
        <w:jc w:val="left"/>
      </w:pPr>
      <w:r>
        <w:rPr>
          <w:rFonts w:ascii="Times New Roman" w:cs="Times New Roman" w:eastAsia="Times New Roman" w:hAnsi="Times New Roman"/>
          <w:color w:val="000000"/>
          <w:sz w:val="22"/>
          <w:szCs w:val="22"/>
        </w:rPr>
        <w:t xml:space="preserve">Large language model assistants were used to write analysis code and to draft and edit the text; all code, numbers and text were checked by the authors.</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left"/>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We call a group mean Dice below 0.1 on a dataset the floor, because rankings there order near-zero scores. With the trained models fixed, each dataset ranks the methods reproducibly across its images: split-half reliability within the untrained, from-scratch and Kvasir-trained groups is 0.84 to 0.99 on the 11 datasets, and 0.82 to 0.92 for the modern models on the four wound datasets. This reliability does not include retraining.</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left"/>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0.35 (0.12 to 0.59) among untrained methods and 0.21 (−0.07 to 0.49) among modern models; the pooled value exceeds the higher of the two by 0.47 (0.26 to 0.62). Agreement between wound and other datasets becomes −0.56 (−0.66 to −0.45), against 0.09 and 0.14 within the groups, and non-wound datasets of different modalities appear to agree at 0.43 (0.23 to 0.62), against 0.04 and 0.01. Under NSD the pooled wound-pair agreement is 0.88, against 0.62 and 0.48 within the groups. The full agreement matrices are shown in Online Resource 1 (Fig. S1).</w:t>
      </w:r>
    </w:p>
    <w:p>
      <w:pPr>
        <w:spacing w:after="100" w:line="276"/>
        <w:jc w:val="left"/>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0.52, against 0.35 and 0.16 within the groups, but the excess over the untrained group, 0.17, has an interval that includes zero (−0.06 to 0.35). Agreement between wound and other datasets turns negative, −0.26 (−0.44 to −0.09), against 0.09 and 0.14 within the groups.</w:t>
      </w:r>
    </w:p>
    <w:p>
      <w:pPr>
        <w:spacing w:after="100" w:line="276"/>
        <w:jc w:val="left"/>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left"/>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0.28 (size-weighted within-group average 0.28;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relabelling p (the smallest attainable p is 0.00014)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 </w:t>
            </w:r>
            <w:r>
              <w:rPr>
                <w:rFonts w:ascii="Times New Roman" w:cs="Times New Roman" w:eastAsia="Times New Roman" w:hAnsi="Times New Roman"/>
                <w:b/>
                <w:bCs/>
                <w:color w:val="000000"/>
                <w:sz w:val="16"/>
                <w:szCs w:val="16"/>
                <w:vertAlign w:val="superscript"/>
              </w:rPr>
              <w:t xml:space="preserve">a</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0.00029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0.0046</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0.0061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(0.58 to 0.75)</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left"/>
      </w:pPr>
      <w:r>
        <w:rPr>
          <w:rFonts w:ascii="Times New Roman" w:cs="Times New Roman" w:eastAsia="Times New Roman" w:hAnsi="Times New Roman"/>
          <w:color w:val="3F3F3F"/>
          <w:sz w:val="16"/>
          <w:szCs w:val="16"/>
          <w:vertAlign w:val="superscript"/>
        </w:rPr>
        <w:t xml:space="preserve">a</w:t>
      </w:r>
      <w:r>
        <w:rPr>
          <w:rFonts w:ascii="Times New Roman" w:cs="Times New Roman" w:eastAsia="Times New Roman" w:hAnsi="Times New Roman"/>
          <w:color w:val="3F3F3F"/>
          <w:sz w:val="16"/>
          <w:szCs w:val="16"/>
        </w:rPr>
        <w:t xml:space="preserve"> Different sources only.</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left"/>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0.00029) and 0.50 (p = 0.00058) (Table 3). Both groups are above the floor on most non-wound datasets. The from-scratch group shows a similar difference (0.47, p = 0.0046), but its group mean Dice is below 0.1 on six of the seven non-wound datasets, so, as for the modern group, its rankings there order near-zero scores and we do not count it as evidence. For the untrained and Kvasir-trained groups the difference holds without the three within-source pairs (0.52 to 0.60, p at most 0.00014), under NSD (0.42 to 0.68, p at most 0.00043) and with empty masks excluded (0.50 to 0.60, p at most 0.00058; Online Resource 1, Tables S2b, S2e and S2f). Colonoscopy datasets from three sources agree at 0.86 and 0.83 within these two groups, whereas the wound datasets agree at 0.35 and 0.36.</w:t>
      </w:r>
    </w:p>
    <w:p>
      <w:pPr>
        <w:spacing w:after="140" w:line="276"/>
        <w:jc w:val="left"/>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0.22 (p = 0.0061), but it varied with the training seed: for the ten original architectures with nnU-Net it is 0.47 with the seed-0 models, 0.02 with the seed-1 models and 0.18 with the seed-2 models (nine architectures), and 0.05 for the eight new architectures (exploratory; exact p 0.00087, 0.38, 0.022 and 0.33, uncorrected).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left"/>
      </w:pPr>
      <w:r>
        <w:rPr>
          <w:rFonts w:ascii="Times New Roman" w:cs="Times New Roman" w:eastAsia="Times New Roman" w:hAnsi="Times New Roman"/>
          <w:color w:val="000000"/>
          <w:sz w:val="22"/>
          <w:szCs w:val="22"/>
        </w:rPr>
        <w:t xml:space="preserve">Generator B at texture amplitude 40 agrees with the four wound datasets at 0.65 (0.44 to 0.80) over the pooled untrained and modern methods, a value that would usually be read as good validation (Fig. 2, Table 4). Among the modern models alone it agrees at 0.21 (−0.17 to 0.48), and the wound datasets agree with each other at 0.21. The difference is 0.00 (−0.41 to 0.30; hierarchical −0.36 to 0.27), an interval too wide to say whether the benchmark is a better or a worse proxy than another wound dataset. The benchmark itself ranks the modern models reproducibly (mean agreement between its three synthetic seeds 0.93), so its low agreement with the wound datasets is not due to its 45-image size. Over the pooled set the benchmark agrees with each wound dataset less than the other wound datasets do (difference −0.17 on average, −0.38 to −0.02; methods resampled only, because untrained methods have no per-image synthetic scores). Among untrained methods it agrees at 0.53 (0.22 to 0.74); for the from-scratch and Kvasir-trained groups the intervals include zero.</w:t>
      </w:r>
    </w:p>
    <w:p>
      <w:pPr>
        <w:spacing w:after="100" w:line="276"/>
        <w:jc w:val="left"/>
      </w:pPr>
      <w:r>
        <w:rPr>
          <w:rFonts w:ascii="Times New Roman" w:cs="Times New Roman" w:eastAsia="Times New Roman" w:hAnsi="Times New Roman"/>
          <w:color w:val="000000"/>
          <w:sz w:val="22"/>
          <w:szCs w:val="22"/>
        </w:rPr>
        <w:t xml:space="preserve">Validity per reference varies, although single per-reference values are imprecise. Among Kvasir-trained methods the benchmark agrees with AZH at 0.56 and with FUSeg at −0.34 (difference 0.90, 0.16 to 1.50). Among untrained methods it agrees with CO2Wounds-V2 at 0.80 and with AZH at 0.32 (difference 0.49, −0.03 to 1.05). Among modern models its agreement with single wound datasets ranges from 0.05 to 0.47 (Table 4). Reported against a single dataset, the same benchmark and pool could be described as valid or invalid.</w:t>
      </w:r>
    </w:p>
    <w:p>
      <w:pPr>
        <w:spacing w:after="100" w:line="276"/>
        <w:jc w:val="left"/>
      </w:pPr>
      <w:r>
        <w:rPr>
          <w:rFonts w:ascii="Times New Roman" w:cs="Times New Roman" w:eastAsia="Times New Roman" w:hAnsi="Times New Roman"/>
          <w:color w:val="000000"/>
          <w:sz w:val="22"/>
          <w:szCs w:val="22"/>
        </w:rPr>
        <w:t xml:space="preserve">Background texture raised validity only in pooled sets, and not in all of them. Moving generator B from amplitude 11 to 40 raises mean benchmark agreement by 0.33 (0.09 to 0.59) in U+M19, with every per-reference interval above zero, and by 0.21 (0.08 to 0.36) in U+F, but not in U+K (0.05, −0.04 to 0.14). Within the groups the change is 0.08, 0.03, −0.03 and −0.08 (U, F, K and M19), and only 1 of the 16 per-reference intervals excludes zero; with no effect about 0.8 would be expected, although the 16 intervals are not independent.</w:t>
      </w:r>
    </w:p>
    <w:p>
      <w:pPr>
        <w:spacing w:after="140" w:line="276"/>
        <w:jc w:val="left"/>
      </w:pPr>
      <w:r>
        <w:rPr>
          <w:rFonts w:ascii="Times New Roman" w:cs="Times New Roman" w:eastAsia="Times New Roman" w:hAnsi="Times New Roman"/>
          <w:color w:val="000000"/>
          <w:sz w:val="22"/>
          <w:szCs w:val="22"/>
        </w:rPr>
        <w:t xml:space="preserve">Benchmark agreement among modern models also varied with the training seed. With single-seed versions of the original architectures (ten models; nine at seed 2) it ranges from 0.23 to 0.40 over the three seeds, for the new architectures (eight models; seven at seeds 0 and 2) from −0.15 to 0.19, and for the full single-seed modern group from 0.20 to 0.25; the agreement between the wound datasets themselves moves with the seed as well (0.05 to 0.28 for the original architectures). Leaving out any one modern method gives benchmark agreement between 0.12 and 0.32. Comparisons between generator families also changed with the pool and the references (Online Resource 1, Table S5f).</w:t>
      </w:r>
    </w:p>
    <w:p>
      <w:pPr>
        <w:keepNext/>
        <w:spacing w:after="80" w:before="200"/>
        <w:jc w:val="center"/>
      </w:pPr>
      <w:r>
        <w:drawing>
          <wp:inline distT="0" distB="0" distL="0" distR="0">
            <wp:extent cx="46482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28098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(0.22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(−0.07 to 0.32)</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0.48)</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(−0.42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 (−0.11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0.80)</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left"/>
      </w:pPr>
      <w:r>
        <w:rPr>
          <w:rFonts w:ascii="Times New Roman" w:cs="Times New Roman" w:eastAsia="Times New Roman" w:hAnsi="Times New Roman"/>
          <w:color w:val="000000"/>
          <w:sz w:val="22"/>
          <w:szCs w:val="22"/>
        </w:rPr>
        <w:t xml:space="preserve">Among the 19 modern models, the four wound datasets agree at 0.21 on average (−0.07 to 0.49; hierarchical −0.10 to 0.48), and the AZH control agrees with AZH at 0.92 (hierarchical 0.46 to 0.97). Under NSD wound-pair agreement is 0.48 (0.17 to 0.73; hierarchical 0.12 to 0.70). The models are close together: on each wound dataset the 19 method means lie within a band 0.07 to 0.21 Dice wide, and the median gap between neighbours in the ranking is 0.001 to 0.006.</w:t>
      </w:r>
    </w:p>
    <w:p>
      <w:pPr>
        <w:spacing w:after="100" w:line="276"/>
        <w:jc w:val="left"/>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0.44 on average (hierarchical interval 0.19 to 0.65), from 0.26 to 0.59 on the individual datasets, against 0.83 on the control images. Retraining one architecture with another seed moves its dataset mean with a pooled standard deviation of 0.010 to 0.033 Dice, several times the median gap between neighbours. The pre-specified rule required same-dataset cross-seed agreement above 0.7. It was not met (0.44). Cross-seed agreement was also not as low as cross-dataset agreement (0.09), so neither branch of the rule applies, and the comparison of the two that follows was not specified in advance.</w:t>
      </w:r>
    </w:p>
    <w:p>
      <w:pPr>
        <w:spacing w:after="100" w:line="276"/>
        <w:jc w:val="left"/>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0.09 (hierarchical −0.12 to 0.33), so the gap to same-dataset agreement is 0.35 (0.11 to 0.57; hierarchical 0.11 to 0.61). The gap was 0.50 (hierarchical 0.08 to 0.81) for the nine original architectures and 0.08 (hierarchical −0.16 to 0.49) for the seven new ones. The difference between these two gaps, 0.42 (−0.07 to 0.83), is too uncertain to attribute the gap to one subgroup; the new architectures also agreed less across seeds on the same dataset (0.27 against 0.55). Part of the gap reflects the shared test images: on random halves of each dataset, same-dataset cross-seed agreement was 0.45 when both seeds were scored on the same half and 0.36 when they were scored on different halves. Under NSD the gap is 0.14 (−0.01 to 0.30). Wound-pair agreement was 0.17 for single seeds (mean over three) and 0.17 for the seed averages, a difference of 0.00 (−0.14 to 0.17), an interval too wide to tell whether averaging seeds helps. The mean Dice of a single-seed model has a reliability (ICC) of 0.27 to 0.77 on the wound datasets, and a three-seed average one of 0.52 to 0.91 (point values; Online Resource 1, Table S4j).</w:t>
      </w:r>
    </w:p>
    <w:p>
      <w:pPr>
        <w:spacing w:after="140" w:line="276"/>
        <w:jc w:val="left"/>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0.40 (0.14 to 0.63; change 0.20, 0.03 to 0.35), and the rise has an interval above zero for every common threshold from 0.45 to 0.90, reaching 0.62 at 0.90. A common threshold lets the ranking follow how confident each model's outputs are: how well a model's tuned threshold predicts its rank on the wound datasets (mean Spearman correlation) is 0.27 under the main protocol and 0.55 at a common threshold of 0.5. With a per-dataset oracle threshold for every model, chosen on the evaluation images, agreement is 0.12 (−0.14 to 0.39), not distinguishable from the main protocol (change −0.09, −0.28 to 0.09). On Medetec and CO2Wounds-V2 most oracle thresholds sit at the lowest grid value (92.3% and 96.2% of the models), so this setting reduces calibration differences only in part.</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without interval, and their mean), between two datasets at different seeds, and between two seeds on the control images (AZH train slice),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left"/>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0.048 Dice on average over the 12 ordered pairs (at most 0.119), against 0.063 for a random choice (Table 5); the paired difference is −0.016 (−0.033 to 0.003). For comparison, choosing on one random half of a wound dataset and deploying on the other half loses 0.001 to 0.024. With single trained models instead of seed averages the chooser did about as well as a random pick: 0.059, 0.077 and 0.053 against 0.060, 0.085 and 0.059 with the seed-0, seed-1 and seed-2 models.</w:t>
      </w:r>
    </w:p>
    <w:p>
      <w:pPr>
        <w:spacing w:after="100" w:line="276"/>
        <w:jc w:val="left"/>
      </w:pPr>
      <w:r>
        <w:rPr>
          <w:rFonts w:ascii="Times New Roman" w:cs="Times New Roman" w:eastAsia="Times New Roman" w:hAnsi="Times New Roman"/>
          <w:color w:val="000000"/>
          <w:sz w:val="22"/>
          <w:szCs w:val="22"/>
        </w:rPr>
        <w:t xml:space="preserve">Choosing on FUSeg, the test set from the clinic that supplied the training images, was the worst strategy: the model ranked first there lost 0.101 Dice on average on the other three wound datasets, including AZH from the same clinic, against 0.075 for a random choice on those datasets. Agreement between the datasets is consistent with this. Among the 19 modern models FUSeg agreed with Medetec at −0.12, with CO2Wounds-V2 at −0.13 and, from the same clinic, with AZH at 0.21, while Medetec and CO2Wounds-V2 agreed at 0.73 (Online Resource 1, Fig. S1). A good result on the internal test set therefore said little about performance elsewhere.</w:t>
      </w:r>
    </w:p>
    <w:p>
      <w:pPr>
        <w:spacing w:after="100" w:line="276"/>
        <w:jc w:val="left"/>
      </w:pPr>
      <w:r>
        <w:rPr>
          <w:rFonts w:ascii="Times New Roman" w:cs="Times New Roman" w:eastAsia="Times New Roman" w:hAnsi="Times New Roman"/>
          <w:color w:val="000000"/>
          <w:sz w:val="22"/>
          <w:szCs w:val="22"/>
        </w:rPr>
        <w:t xml:space="preserve">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S7b).</w:t>
      </w:r>
    </w:p>
    <w:p>
      <w:pPr>
        <w:spacing w:after="100" w:line="276"/>
        <w:jc w:val="left"/>
      </w:pPr>
      <w:r>
        <w:rPr>
          <w:rFonts w:ascii="Times New Roman" w:cs="Times New Roman" w:eastAsia="Times New Roman" w:hAnsi="Times New Roman"/>
          <w:color w:val="000000"/>
          <w:sz w:val="22"/>
          <w:szCs w:val="22"/>
        </w:rPr>
        <w:t xml:space="preserve">Mean Dice hides a failure mode that differs between the two training pipelines. On AZH the 18 pretrained architectures, trained and run on images letterboxed to 256 pixels, miss (Dice below 0.1) 28.7% (21.7% to 35.6%) of the 136 images with a non-empty reference on average, against 1.5% (0.0% to 3.7%) for nnU-Net, which works on native pixels; on FUSeg the rates are 2.6% and 4.6%. The new architectures missed fewer AZH wounds than the original ten (25.5% against 31.2%; difference 5.7 percentage points, 3.4 to 8.0 with these architectures fixed and −0.8 to 13.0 when architectures are also resampled). Even the best, SegFormer (MiT-B2), misses 12.3% (7.4% to 17.3%), and one architecture's AZH miss rate varied by up to 14.0 percentage points between its seeds; nnU-Net was trained once, so its interval does not include training noise.</w:t>
      </w:r>
    </w:p>
    <w:p>
      <w:pPr>
        <w:spacing w:after="100" w:line="276"/>
        <w:jc w:val="left"/>
      </w:pPr>
      <w:r>
        <w:rPr>
          <w:rFonts w:ascii="Times New Roman" w:cs="Times New Roman" w:eastAsia="Times New Roman" w:hAnsi="Times New Roman"/>
          <w:color w:val="000000"/>
          <w:sz w:val="22"/>
          <w:szCs w:val="22"/>
        </w:rPr>
        <w:t xml:space="preserve">AZH images are small wound crops pasted on a black canvas (85.6% of pixels black on average over the kept images, against 26.3% for FUSeg). The feature matches show that one AZH pixel covers 1.20 FUSeg pixels, so after letterboxing the pretrained models see AZH tissue at about 1.9 times the magnification of their training images, while nnU-Net, on native pixels, sees it at about 0.83 times. When the pretrained models do detect an AZH wound their mean Dice is 0.79, against 0.68 for nnU-Net. The share of the 51 pretrained models that miss an image correlates with its black-pixel share (Spearman 0.73) and with its lesion fraction (−0.46). Within each lesion-fraction tercile, from the smallest to the largest lesions, images with more padding than the median are missed by a larger share of models (0.78 against 0.23, 0.38 against 0.06 and 0.19 against 0.10). In 39 AZH images most pretrained models miss the wound and nnU-Net detects it; the reverse occurs in 0. These associations point to the difference in input scale between the two pipelines rather than to the architectures; they are correlational, because neither scale nor padding was manipulated.</w:t>
      </w:r>
    </w:p>
    <w:p>
      <w:pPr>
        <w:spacing w:after="140" w:line="276"/>
        <w:jc w:val="left"/>
      </w:pPr>
      <w:r>
        <w:rPr>
          <w:rFonts w:ascii="Times New Roman" w:cs="Times New Roman" w:eastAsia="Times New Roman" w:hAnsi="Times New Roman"/>
          <w:color w:val="000000"/>
          <w:sz w:val="22"/>
          <w:szCs w:val="22"/>
        </w:rPr>
        <w:t xml:space="preserve">Mean Dice and misses can point to different models. On AZH, SegFormer (MiT-B2) has the highest mean Dice (0.71 against 0.63 for nnU-Net) but misses 12.3% of wounds, against 1.5% for nnU-Net. Which model is better depends on whether a missed wound or a less exact outline costs more in the clinical task.</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The interval type is given in each row: hierarchical (architectures and units resampled), architecture (architectures resampled), unit (units resampled with the models or candidates fixed).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0.33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0.11 to 0.61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0.50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 to 0.81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−0.16 to 0.49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original minus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 to 0.83 (architecture)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 (hierarchical)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(Dice lost against the best candidate)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19 seed-averaged candidates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0.032 to 0.073 (unit); range 0.000 to 0.119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19 seed-averaged candidates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0.055 to 0.081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FUSeg, deployed on the other three</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0.101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0.075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seed-0 models (18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0.060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seed-1 models (19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0.085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seed-2 models (17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0.059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28.7%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21.7% to 35.6%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31.2%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23.9% to 38.3%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25.5%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18.9% to 32.0%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12.3%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7.4% to 17.3% (unit)</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1.5%</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3.7% (unit)</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left"/>
      </w:pPr>
      <w:r>
        <w:rPr>
          <w:rFonts w:ascii="Times New Roman" w:cs="Times New Roman" w:eastAsia="Times New Roman" w:hAnsi="Times New Roman"/>
          <w:color w:val="000000"/>
          <w:sz w:val="22"/>
          <w:szCs w:val="22"/>
        </w:rPr>
        <w:t xml:space="preserve">The pooled-set findings survive the analysis choices (Online Resource 1, Table S6g). In all 12 conditions (three post-processing pipelines under Dice and NSD, four further NSD tolerances, and FUSeg at 256 pixels under Dice and NSD), U+M19 wound-pair agreement is 0.82 to 0.89 and exceeds the higher within-group value by 0.23 to 0.47, each time with an interval above zero; agreement between wound and other datasets is −0.58 to −0.43; and stratified agreement (0.28 to 0.58) equals the size-weighted within-group average in every condition. The weaker U+F effect does not reach this standard in any condition (excess over the higher within-group value −0.16 to 0.17). The modality difference of every pooled set stays above zero in all conditions (U+M19 1.00 to 1.13).</w:t>
      </w:r>
    </w:p>
    <w:p>
      <w:pPr>
        <w:spacing w:after="140" w:line="276"/>
        <w:jc w:val="left"/>
      </w:pPr>
      <w:r>
        <w:rPr>
          <w:rFonts w:ascii="Times New Roman" w:cs="Times New Roman" w:eastAsia="Times New Roman" w:hAnsi="Times New Roman"/>
          <w:color w:val="000000"/>
          <w:sz w:val="22"/>
          <w:szCs w:val="22"/>
        </w:rPr>
        <w:t xml:space="preserve">Among modern models, wound-pair agreement stays within 0.12 to 0.26 under Dice (post-processing pipelines, resampled FUSeg and oracle threshold) and 0.31 to 0.53 under NSD (post-processing pipelines, tolerances and resampled FUSeg). Apart from the common threshold described above, no change has an interval that excludes zero; the largest were the oracle threshold under Dice (−0.09, −0.28 to 0.09) and the 5-pixel tolerance under NSD (−0.17, −0.42 to 0.09), so changes of that size cannot be ruled out. Post-processing barely reorders the modern models under Dice (lowest rank correlation between pipelines on a dataset above the floor 0.90), more under NSD (0.73). Excluding empty reference masks leaves the modality differences nearly unchanged (U+M19 1.10 against 1.10, M19 0.23 against 0.22) and wound-pair agreement nearly so (U+M19 0.81,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left"/>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0.32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left"/>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Among modern models the wound datasets agree with each other at only 0.21, and the benchmark agrees with them at 0.21. The interval of the difference runs from −0.41 to 0.30, so our data cannot tell whether the benchmark is a better or a worse proxy than another clinical dataset. When clinical datasets agree this weakly, a validation study against them has little power to show that a benchmark is good, and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left"/>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may differ. Over the 16 architectures two wound datasets disagree more than two seeds do (gap 0.35, hierarchical 0.11 to 0.61). The gap was larger for the original architectures than for the new ones, but the two subgroups cannot be told apart at these sizes; part of the gap reflects image sampling, because two seeds scored on the same images share it; and for the original architectures seed and session cannot be separated. The pre-specified rule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which reduces calibration differences, did not raise agreement. Our main protocol tunes each model's threshold on held-out images from its training domain, as is usual before deployment, and the low agreement applies to that protocol.</w:t>
      </w:r>
    </w:p>
    <w:p>
      <w:pPr>
        <w:spacing w:after="140" w:line="276"/>
        <w:jc w:val="left"/>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 model chosen on one wound dataset did only modestly better on another than a random choice, and with single trained models hardly better. Selecting on the test set from the training clinic was worse than a random choice, which is the situation of a hospital that accepts a vendor's internal test result. Mean Dice and the share of missed wounds also pointed to different models.</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left"/>
      </w:pPr>
      <w:r>
        <w:rPr>
          <w:rFonts w:ascii="Times New Roman" w:cs="Times New Roman" w:eastAsia="Times New Roman" w:hAnsi="Times New Roman"/>
          <w:color w:val="000000"/>
          <w:sz w:val="22"/>
          <w:szCs w:val="22"/>
        </w:rPr>
        <w:t xml:space="preserve">The composition effect is Simpson's paradox [22, 23], and its role in benchmark agreement is established for language models [18] and for robustness of image classifiers, where models trained on different data lie on different lines relating in-distribution and out-of-distribution accuracy [19–21]. Our contribution is to measure its size in medical segmentation; to show that it inflates agreement between datasets of the modality on which the groups differ most in level, here wound photography,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left"/>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 67]. Under NSD, wound-pair agreement rises from 0.35 to 0.62 among untrained methods and from 0.16 to 0.31 among from-scratch methods, but falls from 0.36 to 0.26 among Kvasir-trained methods, so framing conventions may contribute to the disagreement [68, 69], but the evidence is mixed.</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left"/>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left"/>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left"/>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left"/>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left"/>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left"/>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left"/>
      </w:pPr>
      <w:r>
        <w:rPr>
          <w:rFonts w:ascii="Times New Roman" w:cs="Times New Roman" w:eastAsia="Times New Roman" w:hAnsi="Times New Roman"/>
          <w:color w:val="000000"/>
          <w:sz w:val="22"/>
          <w:szCs w:val="22"/>
        </w:rPr>
        <w:t xml:space="preserve">7. Do not select a model on a test set from the training clinic alone; check the choice on at least one external dataset.</w:t>
      </w:r>
    </w:p>
    <w:p>
      <w:pPr>
        <w:spacing w:after="80" w:line="276"/>
        <w:ind w:left="240"/>
        <w:jc w:val="left"/>
      </w:pPr>
      <w:r>
        <w:rPr>
          <w:rFonts w:ascii="Times New Roman" w:cs="Times New Roman" w:eastAsia="Times New Roman" w:hAnsi="Times New Roman"/>
          <w:color w:val="000000"/>
          <w:sz w:val="22"/>
          <w:szCs w:val="22"/>
        </w:rPr>
        <w:t xml:space="preserve">8. If a mixed pool cannot be avoided, report the within-group agreements directly; stratified agreement is their size-weighted average and adds nothing beyond them.</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left"/>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left"/>
      </w:pPr>
      <w:r>
        <w:rPr>
          <w:rFonts w:ascii="Times New Roman" w:cs="Times New Roman" w:eastAsia="Times New Roman" w:hAnsi="Times New Roman"/>
          <w:color w:val="000000"/>
          <w:sz w:val="22"/>
          <w:szCs w:val="22"/>
        </w:rPr>
        <w:t xml:space="preserve">The pretrained models and nnU-Net differ in input resizing, augmentation, training length and threshold, so their comparison is between two pipelines, not between architectures.</w:t>
      </w:r>
    </w:p>
    <w:p>
      <w:pPr>
        <w:spacing w:after="80" w:line="276"/>
        <w:ind w:left="240"/>
        <w:jc w:val="left"/>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left"/>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left"/>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of the 810 FUSeg training images at 256 pixels; they represent current architectures, not every deployed system.</w:t>
      </w:r>
    </w:p>
    <w:p>
      <w:pPr>
        <w:spacing w:after="80" w:line="276"/>
        <w:ind w:left="240"/>
        <w:jc w:val="left"/>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does not remove calibration differences.</w:t>
      </w:r>
    </w:p>
    <w:p>
      <w:pPr>
        <w:spacing w:after="80" w:line="276"/>
        <w:ind w:left="240"/>
        <w:jc w:val="left"/>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at the floor on most of these datasets too. The untrained methods are at the floor on FUSeg (group mean 0.06), so their wound-pair agreement includes rankings of near-zero scores on that dataset; without FUSeg it is 0.35.</w:t>
      </w:r>
    </w:p>
    <w:p>
      <w:pPr>
        <w:spacing w:after="80" w:line="276"/>
        <w:ind w:left="240"/>
        <w:jc w:val="left"/>
      </w:pPr>
      <w:r>
        <w:rPr>
          <w:rFonts w:ascii="Times New Roman" w:cs="Times New Roman" w:eastAsia="Times New Roman" w:hAnsi="Times New Roman"/>
          <w:color w:val="000000"/>
          <w:sz w:val="22"/>
          <w:szCs w:val="22"/>
        </w:rPr>
        <w:t xml:space="preserve">The synthetic benchmarks are parametric, contain 45 images each and were built at three synthetic seeds; the benchmark analyses rest on one generator family at one texture amplitude. Learned generators such as diffusion models were not tested. Benchmark intervals for sets that include untrained or from-scratch methods resample methods only.</w:t>
      </w:r>
    </w:p>
    <w:p>
      <w:pPr>
        <w:spacing w:after="80" w:line="276"/>
        <w:ind w:left="240"/>
        <w:jc w:val="left"/>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5 pairs from different sources. Of the kept AZH test images, 57 are crops of FUSeg photographs that no model saw, so AZH and FUSeg are related beyond sharing a clinic.</w:t>
      </w:r>
    </w:p>
    <w:p>
      <w:pPr>
        <w:spacing w:after="80" w:line="276"/>
        <w:ind w:left="240"/>
        <w:jc w:val="left"/>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left"/>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left"/>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Intervals for selection losses resample images with the candidates fixed, and both losses are measured against the best observed model, which is biased upwards. The link between padding, scale and misses is correlational.</w:t>
      </w:r>
    </w:p>
    <w:p>
      <w:pPr>
        <w:spacing w:after="80" w:line="276"/>
        <w:ind w:left="240"/>
        <w:jc w:val="left"/>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left"/>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turns agreement between wound and other datasets negative,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When clinical datasets agree weakly with each other, a validation against them can say little about how well a synthetic benchmark orders the models.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left"/>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left"/>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left"/>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[30–39]. Online Resource 2 gives the per-method mean Dice and NSD on every image set, the agreement for every pair of image sets in every method set, and the values of the further analyses cited in the text. Online Resource 1 contains Tables S1 to S9 and Fig. S1. The synthetic generators, the benchmark images and the analysis code are available from the corresponding author on reasonable request.</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rei6inqvigjtj6utfu8th">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Lago M, Sahiner B, Delfino J, Badano AG: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1utb0r2ew_wxpdikm_kv_">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Rubin GD: iTRIALSPACE: Programmable virtual lesion trials for controlled evaluation of lung CT models. arXiv preprint, 2026. </w:t>
      </w:r>
      <w:hyperlink w:history="1" r:id="rIdlpk5mp5orjkpxnv57mzlu">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p1wig1l7kbk9yx0sob9ay">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_o1xxqqizs2hdw6n6vgtk">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seenat_z7-fhvofwbhftj">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Urooj A, Ul Abdien Z, Madan N: Metrics or mirage? An audit of evaluation inconsistencies in colonoscopy polyp segmentation benchmarks. arXiv preprint, 2026. </w:t>
      </w:r>
      <w:hyperlink w:history="1" r:id="rId5ru4jyiihiuvbbx4twonn">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8. Dehghani M, Tay Y, Gritsenko AA et al.: The benchmark lottery. arXiv preprint, 2021. </w:t>
      </w:r>
      <w:hyperlink w:history="1" r:id="rIdqu5i1fj6egtg6bv5ol1ar">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9. Piérard S, Deliège A, Halin A, Van Droogenbroeck M: A methodology to evaluate strategies predicting rankings on unseen domains. In: 2025 IEEE International Conference on Multimedia and Expo Workshops (ICMEW), pp. 1-6, 2025. </w:t>
      </w:r>
      <w:hyperlink w:history="1" r:id="rIdcc9rw5budq-owe-smline">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10. Bassi PRAS, Li W, Tang Y et al.: Touchstone benchmark: Are we on the right way for evaluating AI algorithms for medical segmentation? In: Advances in Neural Information Processing Systems 37 (NeurIPS 2024), Datasets and Benchmarks Track, 2024. </w:t>
      </w:r>
      <w:hyperlink w:history="1" r:id="rIdvhdl9pkn7tdswesumi7xs">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11. Ali S, Ghatwary N, Jha D et al.: Assessing generalisability of deep learning-based polyp detection and segmentation methods through a computer vision challenge. Scientific Reports 14, 2032, 2024. </w:t>
      </w:r>
      <w:hyperlink w:history="1" r:id="rId2uxrk7lgchxilqjbiyn9t">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r87lidoejojpteikdx_5m">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ardi1nepnnezamvfh-xiz">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etqd9u58qt-jb0xwzhizy">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kq75kdkdv3jtp1refd903">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ld6sytg_lqtnjb7wpkyqu">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06nyvczatzzfbidjqcafa">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8lnrowp9d6wp01fewppzf">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Teney D, Lin Y, Oh SJ, Abbasnejad E: ID and OOD performance are sometimes inversely correlated on real-world datasets. In: Advances in Neural Information Processing Systems 36 (NeurIPS 2023), pp. 71703-71722, 2023. </w:t>
      </w:r>
      <w:hyperlink w:history="1" r:id="rIdrmcpn0k41cbirjm59a15u">
        <w:r>
          <w:rPr>
            <w:rFonts w:ascii="Times New Roman" w:cs="Times New Roman" w:eastAsia="Times New Roman" w:hAnsi="Times New Roman"/>
            <w:color w:val="28598A"/>
            <w:sz w:val="19"/>
            <w:szCs w:val="19"/>
            <w:u w:val="single" w:color="28598A"/>
          </w:rPr>
          <w:t xml:space="preserve">https://doi.org/10.52202/075280-3139</w:t>
        </w:r>
      </w:hyperlink>
    </w:p>
    <w:p>
      <w:pPr>
        <w:spacing w:after="70" w:line="250"/>
        <w:ind w:left="360" w:hanging="360"/>
        <w:jc w:val="left"/>
      </w:pPr>
      <w:r>
        <w:rPr>
          <w:rFonts w:ascii="Times New Roman" w:cs="Times New Roman" w:eastAsia="Times New Roman" w:hAnsi="Times New Roman"/>
          <w:color w:val="000000"/>
          <w:sz w:val="19"/>
          <w:szCs w:val="19"/>
        </w:rPr>
        <w:t xml:space="preserve">20.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9mjjrwbl5yqlus1aa2zzd">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21. Fang A, Ilharco G, Wortsman M et al.: Data determines distributional robustness in contrastive language image pre-training (CLIP). In: Proceedings of the 39th International Conference on Machine Learning (ICML 2022), PMLR 162, pp. 6216-6234, 2022. </w:t>
      </w:r>
      <w:hyperlink w:history="1" r:id="rId0w4tjfbtaaclzyhliuvy-">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22. Simpson EH: The interpretation of interaction in contingency tables. Journal of the Royal Statistical Society: Series B (Methodological) 13(2), 238-241, 1951. </w:t>
      </w:r>
      <w:hyperlink w:history="1" r:id="rIdnvxn_bsbz19prjhx7lpza">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23. Kievit RA, Frankenhuis WE, Waldorp LJ, Borsboom D: Simpson's paradox in psychological science: A practical guide. Frontiers in Psychology 4, 513, 2013. </w:t>
      </w:r>
      <w:hyperlink w:history="1" r:id="rIdb_ehgw5gzkkvhffxh4n3z">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24. Zhang R, Tian D, Xu D, Qian W, Yao Y: A survey of wound image analysis using deep learning: Classification, detection, and segmentation. IEEE Access 10, 79502-79515, 2022. </w:t>
      </w:r>
      <w:hyperlink w:history="1" r:id="rIdpdofxjmtngfvz38z0hhip">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q38lbzor1ae_65uugwqis">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tehlm2mmpar0f27kp2j0k">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scyodb4sdpaubu22aq2dg">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ahhik6ibgomxcai4wx5lu">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zn0zxwumcr5jpzrrtbfrv">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w:t>
      </w:r>
      <w:hyperlink w:history="1" r:id="rIdaxjoofoe_bmmbev314id6">
        <w:r>
          <w:rPr>
            <w:rFonts w:ascii="Times New Roman" w:cs="Times New Roman" w:eastAsia="Times New Roman" w:hAnsi="Times New Roman"/>
            <w:color w:val="28598A"/>
            <w:sz w:val="19"/>
            <w:szCs w:val="19"/>
            <w:u w:val="single" w:color="28598A"/>
          </w:rPr>
          <w:t xml:space="preserve">http://www.medetec.co.uk/files/medetec-image-databases.html</w:t>
        </w:r>
      </w:hyperlink>
      <w:r>
        <w:rPr>
          <w:rFonts w:ascii="Times New Roman" w:cs="Times New Roman" w:eastAsia="Times New Roman" w:hAnsi="Times New Roman"/>
          <w:color w:val="000000"/>
          <w:sz w:val="19"/>
          <w:szCs w:val="19"/>
        </w:rPr>
        <w:t xml:space="preserve">.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_s4wqvwznrjakfuggzmdu">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xv77khhg7rspvgs3g-pzd">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ez0kdi8cirwidni5iqx17">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kvowtd-pt_wtqmzf9ekmv">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o710o_hlxiakxx4i7d4fo">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6rrdyuykani1odomazhnx">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vqfdnfj9oku9u_z4k8dcx">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wrbx_kz98akhx6xhbitmp">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vp0s0ru5ta8csw1ijomxu">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btzal86xohgfrqhjy3-8c">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aqehph2lhkhpktp4oy_6a">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75h1h2dq-e7ymebj-tjin">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zsmkjv3ktav9p5rl798gg">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vyjszgzpjlksko08a-s5l">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klz5seci63qtacf0mwxxl">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lsggsifbdrfstzvhzfqf3">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b-1rkai3hp0zn_-g9oxby">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t-aqhg0cnn1xlq2h7dipk">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isxse5fevlj9n5cul9ijx">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QV: EfficientNet: Rethinking model scaling for convolutional neural networks. In: Proceedings of the 36th International Conference on Machine Learning (ICML 2019), PMLR 97, pp. 6105-6114, 2019. </w:t>
      </w:r>
      <w:hyperlink w:history="1" r:id="rIdgy6ojk-4hybw2hsuu6m3a">
        <w:r>
          <w:rPr>
            <w:rFonts w:ascii="Times New Roman" w:cs="Times New Roman" w:eastAsia="Times New Roman" w:hAnsi="Times New Roman"/>
            <w:color w:val="28598A"/>
            <w:sz w:val="19"/>
            <w:szCs w:val="19"/>
            <w:u w:val="single" w:color="28598A"/>
          </w:rPr>
          <w:t xml:space="preserve">https://proceedings.mlr.press/v97/tan19a.html</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0pqp6xcbtihix2o8gdo3_">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k2mnwbcvulv9uolubcjzr">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rkcpg2crramyzeoh6ueen">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jeaqfhpnwpi80m2fg2wof">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jnzcoajd74bbiw5ho1yv_">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795prixned3dutngnkgl9">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a4mxrlveycj8ymcntfytx">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8i6ll31k-wnbeh0fqurbg">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u5xe57hykwhwlycml4ufj">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Reference removed for double-blind review</w:t>
      </w:r>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Clinically applicable segmentation of head and neck anatomy for radiotherapy: Deep learning algorithm development and validation study. Journal of Medical Internet Research 23(7), e26151, 2021. </w:t>
      </w:r>
      <w:hyperlink w:history="1" r:id="rIdzivzprdy4mtb-5acktc2w">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eznuav2twamgdwgynoy-a">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0libkstkxkbt310lpsfnd">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ykobuwdthdtea3ccjvr-d">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9rekhrfkmkv-6ldd9zyyd">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pp. 7249-7255, 2019. </w:t>
      </w:r>
      <w:hyperlink w:history="1" r:id="rIdeppvyhbrdefvloeacrkqx">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kcelwzld2nvebfzxjlgsr">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f0ql4oz08htjofksmctjd">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uta6i6qpo_4__z1plwfej">
        <w:r>
          <w:rPr>
            <w:rFonts w:ascii="Times New Roman" w:cs="Times New Roman" w:eastAsia="Times New Roman" w:hAnsi="Times New Roman"/>
            <w:color w:val="28598A"/>
            <w:sz w:val="19"/>
            <w:szCs w:val="19"/>
            <w:u w:val="single" w:color="28598A"/>
          </w:rPr>
          <w:t xml:space="preserve">https://arxiv.org/abs/2204.11618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ei6inqvigjtj6utfu8th" Type="http://schemas.openxmlformats.org/officeDocument/2006/relationships/hyperlink" Target="https://doi.org/10.1001/jamanetworkopen.2018.5474" TargetMode="External"/><Relationship Id="rId1utb0r2ew_wxpdikm_kv_" Type="http://schemas.openxmlformats.org/officeDocument/2006/relationships/hyperlink" Target="https://doi.org/10.52202/075280-1626" TargetMode="External"/><Relationship Id="rIdlpk5mp5orjkpxnv57mzlu" Type="http://schemas.openxmlformats.org/officeDocument/2006/relationships/hyperlink" Target="https://arxiv.org/abs/2605.05761" TargetMode="External"/><Relationship Id="rIdp1wig1l7kbk9yx0sob9ay" Type="http://schemas.openxmlformats.org/officeDocument/2006/relationships/hyperlink" Target="https://doi.org/10.1007/978-3-031-73254-6_21" TargetMode="External"/><Relationship Id="rId_o1xxqqizs2hdw6n6vgtk" Type="http://schemas.openxmlformats.org/officeDocument/2006/relationships/hyperlink" Target="https://doi.org/10.1038/s41467-018-07619-7" TargetMode="External"/><Relationship Id="rIdseenat_z7-fhvofwbhftj" Type="http://schemas.openxmlformats.org/officeDocument/2006/relationships/hyperlink" Target="https://doi.org/10.1038/s41592-023-02150-0" TargetMode="External"/><Relationship Id="rId5ru4jyiihiuvbbx4twonn" Type="http://schemas.openxmlformats.org/officeDocument/2006/relationships/hyperlink" Target="https://arxiv.org/abs/2607.08203" TargetMode="External"/><Relationship Id="rIdqu5i1fj6egtg6bv5ol1ar" Type="http://schemas.openxmlformats.org/officeDocument/2006/relationships/hyperlink" Target="https://arxiv.org/abs/2107.07002" TargetMode="External"/><Relationship Id="rIdcc9rw5budq-owe-smline" Type="http://schemas.openxmlformats.org/officeDocument/2006/relationships/hyperlink" Target="https://doi.org/10.1109/ICMEW68306.2025.11152102" TargetMode="External"/><Relationship Id="rIdvhdl9pkn7tdswesumi7xs" Type="http://schemas.openxmlformats.org/officeDocument/2006/relationships/hyperlink" Target="https://arxiv.org/abs/2411.03670" TargetMode="External"/><Relationship Id="rId2uxrk7lgchxilqjbiyn9t" Type="http://schemas.openxmlformats.org/officeDocument/2006/relationships/hyperlink" Target="https://doi.org/10.1038/s41598-024-52063-x" TargetMode="External"/><Relationship Id="rIdr87lidoejojpteikdx_5m" Type="http://schemas.openxmlformats.org/officeDocument/2006/relationships/hyperlink" Target="https://doi.org/10.1109/IJCB54206.2022.10007952" TargetMode="External"/><Relationship Id="rIdardi1nepnnezamvfh-xiz" Type="http://schemas.openxmlformats.org/officeDocument/2006/relationships/hyperlink" Target="https://arxiv.org/abs/2607.14932" TargetMode="External"/><Relationship Id="rIdetqd9u58qt-jb0xwzhizy" Type="http://schemas.openxmlformats.org/officeDocument/2006/relationships/hyperlink" Target="https://arxiv.org/abs/2310.16052" TargetMode="External"/><Relationship Id="rIdkq75kdkdv3jtp1refd903" Type="http://schemas.openxmlformats.org/officeDocument/2006/relationships/hyperlink" Target="https://doi.org/10.52202/075280-0091" TargetMode="External"/><Relationship Id="rIdld6sytg_lqtnjb7wpkyqu" Type="http://schemas.openxmlformats.org/officeDocument/2006/relationships/hyperlink" Target="https://arxiv.org/abs/2105.00717" TargetMode="External"/><Relationship Id="rId06nyvczatzzfbidjqcafa" Type="http://schemas.openxmlformats.org/officeDocument/2006/relationships/hyperlink" Target="https://arxiv.org/abs/2606.29232" TargetMode="External"/><Relationship Id="rId8lnrowp9d6wp01fewppzf" Type="http://schemas.openxmlformats.org/officeDocument/2006/relationships/hyperlink" Target="https://arxiv.org/abs/2407.13696" TargetMode="External"/><Relationship Id="rIdrmcpn0k41cbirjm59a15u" Type="http://schemas.openxmlformats.org/officeDocument/2006/relationships/hyperlink" Target="https://doi.org/10.52202/075280-3139" TargetMode="External"/><Relationship Id="rId9mjjrwbl5yqlus1aa2zzd" Type="http://schemas.openxmlformats.org/officeDocument/2006/relationships/hyperlink" Target="https://arxiv.org/abs/2107.04649" TargetMode="External"/><Relationship Id="rId0w4tjfbtaaclzyhliuvy-" Type="http://schemas.openxmlformats.org/officeDocument/2006/relationships/hyperlink" Target="https://proceedings.mlr.press/v162/fang22a.html" TargetMode="External"/><Relationship Id="rIdnvxn_bsbz19prjhx7lpza" Type="http://schemas.openxmlformats.org/officeDocument/2006/relationships/hyperlink" Target="https://doi.org/10.1111/j.2517-6161.1951.tb00088.x" TargetMode="External"/><Relationship Id="rIdb_ehgw5gzkkvhffxh4n3z" Type="http://schemas.openxmlformats.org/officeDocument/2006/relationships/hyperlink" Target="https://doi.org/10.3389/fpsyg.2013.00513" TargetMode="External"/><Relationship Id="rIdpdofxjmtngfvz38z0hhip" Type="http://schemas.openxmlformats.org/officeDocument/2006/relationships/hyperlink" Target="https://doi.org/10.1109/ACCESS.2022.3194529" TargetMode="External"/><Relationship Id="rIdq38lbzor1ae_65uugwqis" Type="http://schemas.openxmlformats.org/officeDocument/2006/relationships/hyperlink" Target="https://doi.org/10.1109/ACCESS.2024.3502467" TargetMode="External"/><Relationship Id="rIdtehlm2mmpar0f27kp2j0k" Type="http://schemas.openxmlformats.org/officeDocument/2006/relationships/hyperlink" Target="https://arxiv.org/abs/2607.02555" TargetMode="External"/><Relationship Id="rIdscyodb4sdpaubu22aq2dg" Type="http://schemas.openxmlformats.org/officeDocument/2006/relationships/hyperlink" Target="https://proceedings.mlsys.org/paper_files/paper/2021/hash/0184b0cd3cfb185989f858a1d9f5c1eb-Abstract.html" TargetMode="External"/><Relationship Id="rIdahhik6ibgomxcai4wx5lu" Type="http://schemas.openxmlformats.org/officeDocument/2006/relationships/hyperlink" Target="https://doi.org/10.1038/s41746-022-00592-y" TargetMode="External"/><Relationship Id="rIdzn0zxwumcr5jpzrrtbfrv" Type="http://schemas.openxmlformats.org/officeDocument/2006/relationships/hyperlink" Target="https://proceedings.mlr.press/v70/guo17a.html" TargetMode="External"/><Relationship Id="rIdaxjoofoe_bmmbev314id6" Type="http://schemas.openxmlformats.org/officeDocument/2006/relationships/hyperlink" Target="http://www.medetec.co.uk/files/medetec-image-databases.html" TargetMode="External"/><Relationship Id="rId_s4wqvwznrjakfuggzmdu" Type="http://schemas.openxmlformats.org/officeDocument/2006/relationships/hyperlink" Target="https://doi.org/10.48550/arXiv.2408.10827" TargetMode="External"/><Relationship Id="rIdxv77khhg7rspvgs3g-pzd" Type="http://schemas.openxmlformats.org/officeDocument/2006/relationships/hyperlink" Target="https://doi.org/10.3390/info15030140" TargetMode="External"/><Relationship Id="rIdez0kdi8cirwidni5iqx17" Type="http://schemas.openxmlformats.org/officeDocument/2006/relationships/hyperlink" Target="https://doi.org/10.1038/s41598-020-78799-w" TargetMode="External"/><Relationship Id="rIdkvowtd-pt_wtqmzf9ekmv" Type="http://schemas.openxmlformats.org/officeDocument/2006/relationships/hyperlink" Target="https://doi.org/10.1007/978-3-030-37734-2_37" TargetMode="External"/><Relationship Id="rIdo710o_hlxiakxx4i7d4fo" Type="http://schemas.openxmlformats.org/officeDocument/2006/relationships/hyperlink" Target="https://doi.org/10.1016/j.compmedimag.2015.02.007" TargetMode="External"/><Relationship Id="rId6rrdyuykani1odomazhnx" Type="http://schemas.openxmlformats.org/officeDocument/2006/relationships/hyperlink" Target="https://doi.org/10.1016/j.patcog.2012.03.002" TargetMode="External"/><Relationship Id="rIdvqfdnfj9oku9u_z4k8dcx" Type="http://schemas.openxmlformats.org/officeDocument/2006/relationships/hyperlink" Target="https://doi.org/10.1007/s11548-013-0926-3" TargetMode="External"/><Relationship Id="rIdwrbx_kz98akhx6xhbitmp" Type="http://schemas.openxmlformats.org/officeDocument/2006/relationships/hyperlink" Target="https://doi.org/10.1109/EMBC.2013.6610779" TargetMode="External"/><Relationship Id="rIdvp0s0ru5ta8csw1ijomxu" Type="http://schemas.openxmlformats.org/officeDocument/2006/relationships/hyperlink" Target="https://doi.org/10.1109/ISBI48211.2021.9434087" TargetMode="External"/><Relationship Id="rIdbtzal86xohgfrqhjy3-8c" Type="http://schemas.openxmlformats.org/officeDocument/2006/relationships/hyperlink" Target="https://github.com/qubvel-org/segmentation_models.pytorch" TargetMode="External"/><Relationship Id="rIdaqehph2lhkhpktp4oy_6a" Type="http://schemas.openxmlformats.org/officeDocument/2006/relationships/hyperlink" Target="https://doi.org/10.1007/978-3-319-24574-4_28" TargetMode="External"/><Relationship Id="rId75h1h2dq-e7ymebj-tjin" Type="http://schemas.openxmlformats.org/officeDocument/2006/relationships/hyperlink" Target="https://doi.org/10.1007/978-3-030-00889-5_1" TargetMode="External"/><Relationship Id="rIdzsmkjv3ktav9p5rl798gg" Type="http://schemas.openxmlformats.org/officeDocument/2006/relationships/hyperlink" Target="https://doi.org/10.1007/978-3-030-01234-2_49" TargetMode="External"/><Relationship Id="rIdvyjszgzpjlksko08a-s5l" Type="http://schemas.openxmlformats.org/officeDocument/2006/relationships/hyperlink" Target="https://doi.org/10.1109/CVPR.2017.106" TargetMode="External"/><Relationship Id="rIdklz5seci63qtacf0mwxxl" Type="http://schemas.openxmlformats.org/officeDocument/2006/relationships/hyperlink" Target="https://doi.org/10.1109/CVPR.2017.660" TargetMode="External"/><Relationship Id="rIdlsggsifbdrfstzvhzfqf3" Type="http://schemas.openxmlformats.org/officeDocument/2006/relationships/hyperlink" Target="https://doi.org/10.1109/VCIP.2017.8305148" TargetMode="External"/><Relationship Id="rIdb-1rkai3hp0zn_-g9oxby" Type="http://schemas.openxmlformats.org/officeDocument/2006/relationships/hyperlink" Target="https://doi.org/10.1109/ACCESS.2020.3025372" TargetMode="External"/><Relationship Id="rIdt-aqhg0cnn1xlq2h7dipk" Type="http://schemas.openxmlformats.org/officeDocument/2006/relationships/hyperlink" Target="https://doi.org/10.1109/CVPR.2016.90" TargetMode="External"/><Relationship Id="rIdisxse5fevlj9n5cul9ijx" Type="http://schemas.openxmlformats.org/officeDocument/2006/relationships/hyperlink" Target="https://doi.org/10.1109/CVPR.2018.00474" TargetMode="External"/><Relationship Id="rIdgy6ojk-4hybw2hsuu6m3a" Type="http://schemas.openxmlformats.org/officeDocument/2006/relationships/hyperlink" Target="https://proceedings.mlr.press/v97/tan19a.html" TargetMode="External"/><Relationship Id="rId0pqp6xcbtihix2o8gdo3_" Type="http://schemas.openxmlformats.org/officeDocument/2006/relationships/hyperlink" Target="https://arxiv.org/abs/2105.15203" TargetMode="External"/><Relationship Id="rIdk2mnwbcvulv9uolubcjzr" Type="http://schemas.openxmlformats.org/officeDocument/2006/relationships/hyperlink" Target="https://doi.org/10.1109/CVPR.2009.5206848" TargetMode="External"/><Relationship Id="rIdrkcpg2crramyzeoh6ueen" Type="http://schemas.openxmlformats.org/officeDocument/2006/relationships/hyperlink" Target="https://doi.org/10.1109/ICCV48922.2021.00986" TargetMode="External"/><Relationship Id="rIdjeaqfhpnwpi80m2fg2wof" Type="http://schemas.openxmlformats.org/officeDocument/2006/relationships/hyperlink" Target="https://doi.org/10.1007/978-3-030-01228-1_26" TargetMode="External"/><Relationship Id="rIdjnzcoajd74bbiw5ho1yv_" Type="http://schemas.openxmlformats.org/officeDocument/2006/relationships/hyperlink" Target="https://doi.org/10.1109/CVPR52688.2022.01167" TargetMode="External"/><Relationship Id="rId795prixned3dutngnkgl9" Type="http://schemas.openxmlformats.org/officeDocument/2006/relationships/hyperlink" Target="https://doi.org/10.1109/CVPR42600.2020.01044" TargetMode="External"/><Relationship Id="rIda4mxrlveycj8ymcntfytx" Type="http://schemas.openxmlformats.org/officeDocument/2006/relationships/hyperlink" Target="https://doi.org/10.1038/s41592-020-01008-z" TargetMode="External"/><Relationship Id="rId8i6ll31k-wnbeh0fqurbg" Type="http://schemas.openxmlformats.org/officeDocument/2006/relationships/hyperlink" Target="https://doi.org/10.1109/ICCV51070.2023.00371" TargetMode="External"/><Relationship Id="rIdu5xe57hykwhwlycml4ufj" Type="http://schemas.openxmlformats.org/officeDocument/2006/relationships/hyperlink" Target="https://doi.org/10.1038/s41467-024-44824-z" TargetMode="External"/><Relationship Id="rIdzivzprdy4mtb-5acktc2w" Type="http://schemas.openxmlformats.org/officeDocument/2006/relationships/hyperlink" Target="https://doi.org/10.2196/26151" TargetMode="External"/><Relationship Id="rIdeznuav2twamgdwgynoy-a" Type="http://schemas.openxmlformats.org/officeDocument/2006/relationships/hyperlink" Target="https://doi.org/10.1038/s41598-021-82017-6" TargetMode="External"/><Relationship Id="rId0libkstkxkbt310lpsfnd" Type="http://schemas.openxmlformats.org/officeDocument/2006/relationships/hyperlink" Target="https://doi.org/10.1007/978-3-031-72117-5_12" TargetMode="External"/><Relationship Id="rIdykobuwdthdtea3ccjvr-d" Type="http://schemas.openxmlformats.org/officeDocument/2006/relationships/hyperlink" Target="https://doi.org/10.1109/IROS.2017.8202133" TargetMode="External"/><Relationship Id="rId9rekhrfkmkv-6ldd9zyyd" Type="http://schemas.openxmlformats.org/officeDocument/2006/relationships/hyperlink" Target="https://doi.org/10.1109/CVPRW.2018.00143" TargetMode="External"/><Relationship Id="rIdeppvyhbrdefvloeacrkqx" Type="http://schemas.openxmlformats.org/officeDocument/2006/relationships/hyperlink" Target="https://doi.org/10.1109/ICRA.2019.8794443" TargetMode="External"/><Relationship Id="rIdkcelwzld2nvebfzxjlgsr" Type="http://schemas.openxmlformats.org/officeDocument/2006/relationships/hyperlink" Target="https://arxiv.org/abs/2302.05432" TargetMode="External"/><Relationship Id="rIdf0ql4oz08htjofksmctjd" Type="http://schemas.openxmlformats.org/officeDocument/2006/relationships/hyperlink" Target="https://doi.org/10.1109/CVPR.2011.5995347" TargetMode="External"/><Relationship Id="rIduta6i6qpo_4__z1plwfej" Type="http://schemas.openxmlformats.org/officeDocument/2006/relationships/hyperlink" Target="https://arxiv.org/abs/2204.11618" TargetMode="External"/><Relationship Id="rId8" Type="http://schemas.openxmlformats.org/officeDocument/2006/relationships/image" Target="media/1d80a1c12a62ae84692f41a464d81780eb8a9ffc.png"/><Relationship Id="rId9" Type="http://schemas.openxmlformats.org/officeDocument/2006/relationships/image" Target="media/c4ed96dc87091a345edd610a0a86237cf2526d8e.png"/><Relationship Id="rId10" Type="http://schemas.openxmlformats.org/officeDocument/2006/relationships/image" Target="media/66f753cc1f6f97cf62ef7804778927b5fd8f661a.png"/><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a synthetic segmentation benchmark by rank correlation: how the methods compared, the clinical reference and training noise change the answer in wound imaging</dc:title>
  <cp:lastModifiedBy>Un-named</cp:lastModifiedBy>
  <cp:revision>1</cp:revision>
  <dcterms:created xsi:type="dcterms:W3CDTF">2026-10-16T15:08:02.486Z</dcterms:created>
  <dcterms:modified xsi:type="dcterms:W3CDTF">2026-10-16T15:08:02.487Z</dcterms:modified>
</cp:coreProperties>
</file>

<file path=docProps/custom.xml><?xml version="1.0" encoding="utf-8"?>
<Properties xmlns="http://schemas.openxmlformats.org/officeDocument/2006/custom-properties" xmlns:vt="http://schemas.openxmlformats.org/officeDocument/2006/docPropsVTypes"/>
</file>