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r w:rsidDel="00000000" w:rsidR="00000000" w:rsidRPr="00000000">
        <w:rPr>
          <w:rtl w:val="0"/>
        </w:rPr>
        <w:t xml:space="preserve">Exercice 4 — Rédiger le cahier des charges de votre agent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Durée : 45 minutes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____________________________________________________________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Remplissez les 10 sections suivantes pour votre projet fil rouge :</w:t>
      </w:r>
    </w:p>
    <w:p w:rsidR="00000000" w:rsidDel="00000000" w:rsidP="00000000" w:rsidRDefault="00000000" w:rsidRPr="00000000" w14:paraId="00000005">
      <w:pPr>
        <w:pStyle w:val="Heading3"/>
        <w:rPr/>
      </w:pPr>
      <w:r w:rsidDel="00000000" w:rsidR="00000000" w:rsidRPr="00000000">
        <w:rPr>
          <w:rtl w:val="0"/>
        </w:rPr>
        <w:t xml:space="preserve">1. Problème métier</w:t>
      </w:r>
    </w:p>
    <w:tbl>
      <w:tblPr>
        <w:tblStyle w:val="Table1"/>
        <w:tblW w:w="939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98"/>
        <w:gridCol w:w="4698"/>
        <w:tblGridChange w:id="0">
          <w:tblGrid>
            <w:gridCol w:w="4698"/>
            <w:gridCol w:w="469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Élément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Votre réponse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Processus cible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Gestion des rendez-vous et du parcours patient d'une clinique de médecine générale.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Volume actuel (nb/jour)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Consultations 40 à 60/jour ; vaccinations 10 à 15/jour ; bilans 5 à 10/jour ; petits actes 3 à 5/jour ; téléconsultations 10 à 20/jour.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Temps moyen par occurrence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Consultation 15 à 20 min ; vaccination 10 min ; bilan de santé 30 à 45 min ; petit acte chirurgical 20 à 30 min ; téléconsultation 10 à 15 min.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Coût actuel estimé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38K/an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Problème principal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Répondre à une demande croissante de soins de proximité tout en maintenant un délai de rendez-vous court et une qualité de service élevée.</w:t>
            </w:r>
          </w:p>
        </w:tc>
      </w:tr>
    </w:tbl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rPr/>
      </w:pPr>
      <w:r w:rsidDel="00000000" w:rsidR="00000000" w:rsidRPr="00000000">
        <w:rPr>
          <w:rtl w:val="0"/>
        </w:rPr>
        <w:t xml:space="preserve">2. Objectifs</w:t>
      </w:r>
    </w:p>
    <w:tbl>
      <w:tblPr>
        <w:tblStyle w:val="Table2"/>
        <w:tblW w:w="939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98"/>
        <w:gridCol w:w="4698"/>
        <w:tblGridChange w:id="0">
          <w:tblGrid>
            <w:gridCol w:w="4698"/>
            <w:gridCol w:w="469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Élément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Votre réponse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Objectif principal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Réduire le délai moyen de rendez-vous à moins de 3 jours tout en maintenant une satisfaction patient supérieure à 90%.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Gain attendu (quantifié)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Délai &lt; 3 jours, satisfaction &gt; 90%, hausse de la part de rendez-vous en ligne et de téléconsultation.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Périmètre inclus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Prise de rendez-vous, triage, téléconsultation, accueil, partenariats locaux, suivi KPI.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Périmètre exclu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Diagnostic médical, facturation, actes cliniques et choix thérapeutiques.</w:t>
            </w:r>
          </w:p>
        </w:tc>
      </w:tr>
    </w:tbl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rPr/>
      </w:pPr>
      <w:r w:rsidDel="00000000" w:rsidR="00000000" w:rsidRPr="00000000">
        <w:rPr>
          <w:rtl w:val="0"/>
        </w:rPr>
        <w:t xml:space="preserve">3. Utilisateurs cibles</w:t>
      </w:r>
    </w:p>
    <w:tbl>
      <w:tblPr>
        <w:tblStyle w:val="Table3"/>
        <w:tblW w:w="939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49"/>
        <w:gridCol w:w="2349"/>
        <w:gridCol w:w="2349"/>
        <w:gridCol w:w="2349"/>
        <w:tblGridChange w:id="0">
          <w:tblGrid>
            <w:gridCol w:w="2349"/>
            <w:gridCol w:w="2349"/>
            <w:gridCol w:w="2349"/>
            <w:gridCol w:w="234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Profil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Rôle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Fréquence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Interaction avec l’agent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Directeur médical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Valide les priorités médicales, les arbitrages de capacité et les protocoles de triage.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Hebdomadaire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Quand un arbitrage clinique ou capacitaire est nécessaire.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Responsable administratif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Suit l'agenda, les délais de rendez-vous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Quotidienne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Pour le pilotage opérationnel et les ajustements d'agenda.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 qualité / expérience patient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Pilote les enquêtes de satisfaction, l'accueil et les actions correctives.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Hebdomadaire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Pour analyser les retours et lancer les actions d'amélioration.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Expérience patient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Formuler une demande de RDV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Quotidienne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Evaluation et retour d’expérience, et prise de RDV</w:t>
            </w:r>
          </w:p>
        </w:tc>
      </w:tr>
    </w:tbl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rPr/>
      </w:pPr>
      <w:r w:rsidDel="00000000" w:rsidR="00000000" w:rsidRPr="00000000">
        <w:rPr>
          <w:rtl w:val="0"/>
        </w:rPr>
        <w:t xml:space="preserve">4. Pattern agent</w:t>
      </w:r>
    </w:p>
    <w:tbl>
      <w:tblPr>
        <w:tblStyle w:val="Table4"/>
        <w:tblW w:w="939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98"/>
        <w:gridCol w:w="4698"/>
        <w:tblGridChange w:id="0">
          <w:tblGrid>
            <w:gridCol w:w="4698"/>
            <w:gridCol w:w="469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Élément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Votre réponse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Pattern choisi (réactif / ReAct / planificateur)</w:t>
            </w:r>
          </w:p>
        </w:tc>
        <w:tc>
          <w:tcPr/>
          <w:p w:rsidR="00000000" w:rsidDel="00000000" w:rsidP="00000000" w:rsidRDefault="00000000" w:rsidRPr="00000000" w14:paraId="00000039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Planificateur **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ReAct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Justification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Le besoin est de diagnostiquer, prioriser des actions; un pattern planificateur est plus adapté qu'un agent purement réactif.</w:t>
            </w:r>
          </w:p>
        </w:tc>
      </w:tr>
    </w:tbl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rPr/>
      </w:pPr>
      <w:r w:rsidDel="00000000" w:rsidR="00000000" w:rsidRPr="00000000">
        <w:rPr>
          <w:rtl w:val="0"/>
        </w:rPr>
        <w:t xml:space="preserve">5. Entrées et sorties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b w:val="1"/>
          <w:bCs w:val="1"/>
          <w:rtl w:val="0"/>
        </w:rPr>
        <w:t xml:space="preserve">Entrées acceptées :</w:t>
      </w:r>
      <w:r w:rsidDel="00000000" w:rsidR="00000000" w:rsidRPr="00000000">
        <w:rPr>
          <w:rtl w:val="0"/>
        </w:rPr>
      </w:r>
    </w:p>
    <w:tbl>
      <w:tblPr>
        <w:tblStyle w:val="Table5"/>
        <w:tblW w:w="939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32"/>
        <w:gridCol w:w="3132"/>
        <w:gridCol w:w="3132"/>
        <w:tblGridChange w:id="0">
          <w:tblGrid>
            <w:gridCol w:w="3132"/>
            <w:gridCol w:w="3132"/>
            <w:gridCol w:w="313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 d'entrée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Demandes de rendez-vous et de téléconsultation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Texte court, motif de consultation, niveau d'urgence, disponibilité du patient, canal de contact : </w:t>
              <w:br w:type="textWrapping"/>
              <w:br w:type="textWrapping"/>
              <w:t xml:space="preserve">- nom et prénom</w:t>
              <w:br w:type="textWrapping"/>
              <w:t xml:space="preserve">- motif de consultation</w:t>
              <w:br w:type="textWrapping"/>
              <w:t xml:space="preserve">- préférence médecin </w:t>
              <w:br w:type="textWrapping"/>
              <w:t xml:space="preserve">- email</w:t>
              <w:br w:type="textWrapping"/>
              <w:t xml:space="preserve">- N° téléphone</w:t>
            </w:r>
          </w:p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- Préférence de contact</w:t>
            </w:r>
          </w:p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- N° sécurité sociale</w:t>
            </w:r>
          </w:p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- pièce jointe (document)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Formulaire en ligne, appel téléphonique ou messagerie sécurisée.</w:t>
            </w:r>
          </w:p>
        </w:tc>
      </w:tr>
    </w:tbl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b w:val="1"/>
          <w:bCs w:val="1"/>
          <w:rtl w:val="0"/>
        </w:rPr>
        <w:t xml:space="preserve">Sorties produites :</w:t>
      </w:r>
      <w:r w:rsidDel="00000000" w:rsidR="00000000" w:rsidRPr="00000000">
        <w:rPr>
          <w:rtl w:val="0"/>
        </w:rPr>
      </w:r>
    </w:p>
    <w:tbl>
      <w:tblPr>
        <w:tblStyle w:val="Table6"/>
        <w:tblW w:w="939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32"/>
        <w:gridCol w:w="3132"/>
        <w:gridCol w:w="3132"/>
        <w:tblGridChange w:id="0">
          <w:tblGrid>
            <w:gridCol w:w="3132"/>
            <w:gridCol w:w="3132"/>
            <w:gridCol w:w="313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 de sortie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Proposition de créneau ou d'orientation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Message clair, immédiat et personnalisé. </w:t>
              <w:br w:type="textWrapping"/>
            </w:r>
          </w:p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- e-mail/sms de confirmation</w:t>
            </w:r>
          </w:p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- Rappel de rdv</w:t>
              <w:br w:type="textWrapping"/>
              <w:t xml:space="preserve">- Message de satisfaction</w:t>
              <w:br w:type="textWrapping"/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Confirmation de rendez-vous, proposition de téléconsultation ou orientation vers un autre service.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Synthèse de pilotage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Tableau de bord court avec priorité, délai estimé et statut du dossier.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Liste des demandes urgentes, rendez-vous en attente et alertes de capacité.</w:t>
            </w:r>
          </w:p>
        </w:tc>
      </w:tr>
    </w:tbl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rPr/>
      </w:pPr>
      <w:r w:rsidDel="00000000" w:rsidR="00000000" w:rsidRPr="00000000">
        <w:rPr>
          <w:rtl w:val="0"/>
        </w:rPr>
        <w:t xml:space="preserve">6. Architecture — Schéma des 7 couches</w:t>
      </w:r>
    </w:p>
    <w:tbl>
      <w:tblPr>
        <w:tblStyle w:val="Table7"/>
        <w:tblW w:w="939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99"/>
        <w:gridCol w:w="4697"/>
        <w:tblGridChange w:id="0">
          <w:tblGrid>
            <w:gridCol w:w="4699"/>
            <w:gridCol w:w="469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Couche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Contenu pour votre agent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1. Perception/Entrée</w:t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Réception des demandes, lecture du motif et collecte des contraintes utiles.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2. Orchestration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Classement des demandes, détection des urgences et routage vers le bon service.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3. Raisonnement (LLM)</w:t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Choix du créneau, de l'orientation ou de l'escalade vers un professionnel, réponse et confirmation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4. Mémoire</w:t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  <w:t xml:space="preserve">Préférences du patient, historique de contact et décisions déjà prises. - </w:t>
            </w:r>
            <w:r w:rsidDel="00000000" w:rsidR="00000000" w:rsidRPr="00000000">
              <w:rPr>
                <w:highlight w:val="yellow"/>
                <w:rtl w:val="0"/>
              </w:rPr>
              <w:t xml:space="preserve">mémoire longue / mémoire courte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5. Outils</w:t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Agenda, base patients, messagerie sécurisée et moteur de notification (envoie de réponse automatique).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6. Contrôle/Gouvernance</w:t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Validation humaine des cas sensibles, journalisation et respect RGPD, anonymisation des informations du patient.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7. Sortie</w:t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Rendez-vous confirmé, orientation transmise ou alerte opérationnelle.</w:t>
            </w:r>
          </w:p>
        </w:tc>
      </w:tr>
    </w:tbl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rPr/>
      </w:pPr>
      <w:r w:rsidDel="00000000" w:rsidR="00000000" w:rsidRPr="00000000">
        <w:rPr>
          <w:rtl w:val="0"/>
        </w:rPr>
        <w:t xml:space="preserve">7. Données nécessaires</w:t>
      </w:r>
    </w:p>
    <w:tbl>
      <w:tblPr>
        <w:tblStyle w:val="Table8"/>
        <w:tblW w:w="939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80"/>
        <w:gridCol w:w="1879"/>
        <w:gridCol w:w="1879"/>
        <w:gridCol w:w="1879"/>
        <w:gridCol w:w="1879"/>
        <w:tblGridChange w:id="0">
          <w:tblGrid>
            <w:gridCol w:w="1880"/>
            <w:gridCol w:w="1879"/>
            <w:gridCol w:w="1879"/>
            <w:gridCol w:w="1879"/>
            <w:gridCol w:w="187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Volume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Qualité actuelle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 RGPD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Demandes de rendez-vous et téléconsultation</w:t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Structuré</w:t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Flux quotidien</w:t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Qualité moyenne à structurer</w:t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Minimisation des détails concernant le patient, consentement, accès restreint, conservation limitée des données.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Agenda, capacité et disponibilité des médecins</w:t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Structuré</w:t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Collecte hebdomadaire à mensuelle</w:t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Données hétérogènes à consolider</w:t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Consentement, anonymisation et contractualisation</w:t>
            </w:r>
          </w:p>
        </w:tc>
      </w:tr>
    </w:tbl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rPr/>
      </w:pPr>
      <w:r w:rsidDel="00000000" w:rsidR="00000000" w:rsidRPr="00000000">
        <w:rPr>
          <w:rtl w:val="0"/>
        </w:rPr>
        <w:t xml:space="preserve">8. KPIs</w:t>
      </w:r>
    </w:p>
    <w:tbl>
      <w:tblPr>
        <w:tblStyle w:val="Table9"/>
        <w:tblW w:w="939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32"/>
        <w:gridCol w:w="3132"/>
        <w:gridCol w:w="3132"/>
        <w:tblGridChange w:id="0">
          <w:tblGrid>
            <w:gridCol w:w="3132"/>
            <w:gridCol w:w="3132"/>
            <w:gridCol w:w="313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KPI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Cible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Méthode de mesure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Délai moyen de rendez-vous</w:t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&lt; 3 jours</w:t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Mesuré via l'agenda de prise de rendez-vous et suivi mensuel.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Taux de demandes orientées automatiquement</w:t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&gt;= 70%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Enquête post-visite et calcul du NPS(Net Promoter Score )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mesurer la satisfaction des patients</w:t>
            </w:r>
            <w:r w:rsidDel="00000000" w:rsidR="00000000" w:rsidRPr="00000000">
              <w:rPr>
                <w:rtl w:val="0"/>
              </w:rPr>
              <w:t xml:space="preserve"> après leur consultation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Taux de satisfaction patient</w:t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&gt; 90%</w:t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Analyse de la plateforme de réservation. (en analysant les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données d’utilisation de la plateforme</w:t>
            </w:r>
            <w:r w:rsidDel="00000000" w:rsidR="00000000" w:rsidRPr="00000000">
              <w:rPr>
                <w:rtl w:val="0"/>
              </w:rPr>
              <w:t xml:space="preserve"> (ex : temps passé, taux de réussite de réservation, feedbacks intégrés dans l’outil) ), NPS</w:t>
            </w:r>
          </w:p>
        </w:tc>
      </w:tr>
    </w:tbl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rPr/>
      </w:pPr>
      <w:r w:rsidDel="00000000" w:rsidR="00000000" w:rsidRPr="00000000">
        <w:rPr>
          <w:rtl w:val="0"/>
        </w:rPr>
        <w:t xml:space="preserve">9. Parties prenantes</w:t>
      </w:r>
    </w:p>
    <w:tbl>
      <w:tblPr>
        <w:tblStyle w:val="Table10"/>
        <w:tblW w:w="9396.000000000002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33"/>
        <w:gridCol w:w="3131"/>
        <w:gridCol w:w="3132"/>
        <w:tblGridChange w:id="0">
          <w:tblGrid>
            <w:gridCol w:w="3133"/>
            <w:gridCol w:w="3131"/>
            <w:gridCol w:w="313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Partie prenante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Rôle dans le projet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Quand l'impliquer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Direction médicale</w:t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Valide les règles de triage, les cas d'escalade et les limites médicales de l'agent.</w:t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Dès le cadrage puis à chaque jalon majeur.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Secrétariat / accueil</w:t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Utilise l'agent au quotidien et remonte les cas non résolus.</w:t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Pendant la conception, l'intégration et les tests.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IT</w:t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La mise en place, Intègrent l'outil, protègent les données et vérifient la conformité. Et maintenance.</w:t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Pendant la conception, avant mise en production et lors des revues de conformité, tout au long de l’utilisation de l’agent (pour la maintenance).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Direction</w:t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Arbitre le budget, la feuille de route et les gains attendus.</w:t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À chaque validation de phase et lors du pilotage mensuel.</w:t>
            </w:r>
          </w:p>
        </w:tc>
      </w:tr>
    </w:tbl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rPr/>
      </w:pPr>
      <w:r w:rsidDel="00000000" w:rsidR="00000000" w:rsidRPr="00000000">
        <w:rPr>
          <w:rtl w:val="0"/>
        </w:rPr>
        <w:t xml:space="preserve">10. Risques identifiés</w:t>
      </w:r>
    </w:p>
    <w:tbl>
      <w:tblPr>
        <w:tblStyle w:val="Table11"/>
        <w:tblW w:w="946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0"/>
        <w:gridCol w:w="2355"/>
        <w:gridCol w:w="2355"/>
        <w:gridCol w:w="2355"/>
        <w:tblGridChange w:id="0">
          <w:tblGrid>
            <w:gridCol w:w="2400"/>
            <w:gridCol w:w="2355"/>
            <w:gridCol w:w="2355"/>
            <w:gridCol w:w="235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Risque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Probabilité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Mitigation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Mauvaise priorisation d'un cas urgent</w:t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Moyen</w:t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Elevé</w:t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Recrutement progressif, horaires flexibles et triage renforcé, human in the loop pour vérifier les priorités.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Données incomplètes ou incohérentes des patients</w:t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Moyen</w:t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Moyen</w:t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Accords formels, diversification des partenaires locaux.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Adoption insuffisante par les équipes du personnel</w:t>
            </w:r>
          </w:p>
        </w:tc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Moyen</w:t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Moyen</w:t>
            </w:r>
          </w:p>
        </w:tc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Formation du personnel, feedback continu et corrections rapides.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Utilisation insuffisante par les patients</w:t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Elevé</w:t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Elevé</w:t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Interface simple, guide d’utilisation et meilleure communication.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Diffusion et fuite de données patient (RGPD)</w:t>
            </w:r>
          </w:p>
        </w:tc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Elevé</w:t>
            </w:r>
          </w:p>
        </w:tc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Elevé</w:t>
            </w:r>
          </w:p>
        </w:tc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Hébergement HDS, chiffrement de BEB, utiliser un llm en local (opensource),  </w:t>
            </w:r>
          </w:p>
        </w:tc>
      </w:tr>
    </w:tbl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3"/>
        <w:rPr/>
      </w:pPr>
      <w:r w:rsidDel="00000000" w:rsidR="00000000" w:rsidRPr="00000000">
        <w:rPr>
          <w:rtl w:val="0"/>
        </w:rPr>
        <w:t xml:space="preserve">Livrable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Cahier des charges complet (les 10 sections remplies). Ce document sera le socle de votre projet fil rouge pour les modules suivants.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134" w:top="1134" w:left="1417" w:right="141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b1b3a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b1b3a"/>
        <w:sz w:val="20"/>
        <w:szCs w:val="20"/>
        <w:u w:val="none"/>
        <w:shd w:fill="auto" w:val="clear"/>
        <w:vertAlign w:val="baseline"/>
        <w:rtl w:val="0"/>
      </w:rPr>
      <w:t xml:space="preserve">2026 — Formation GenAI, LLM &amp; Agents IA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b1b3a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b1b3a"/>
        <w:sz w:val="18"/>
        <w:szCs w:val="18"/>
        <w:u w:val="none"/>
        <w:shd w:fill="auto" w:val="clear"/>
        <w:vertAlign w:val="baseline"/>
        <w:rtl w:val="0"/>
      </w:rPr>
      <w:t xml:space="preserve">AJC Formation — Conception Fonctionnelle &amp; Architecture Technique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1b1b3a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