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327F2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PRISMA 2020 Flow Diagram</w:t>
      </w:r>
    </w:p>
    <w:p w14:paraId="6B2284C9">
      <w:pPr>
        <w:spacing w:after="400"/>
        <w:jc w:val="center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Healthcare Professionals' Experiences of EHR Adoption in Low-Income and Developing Countries</w:t>
      </w:r>
    </w:p>
    <w:p w14:paraId="10A789C8">
      <w:pPr>
        <w:jc w:val="center"/>
      </w:pPr>
      <w:r>
        <w:drawing>
          <wp:inline distT="0" distB="0" distL="0" distR="0">
            <wp:extent cx="6477000" cy="5305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1C6D">
      <w:pPr>
        <w:spacing w:before="400"/>
      </w:pPr>
      <w:r>
        <w:rPr>
          <w:rFonts w:hint="default" w:cs="Times New Roman"/>
          <w:i/>
          <w:iCs/>
          <w:sz w:val="20"/>
          <w:szCs w:val="20"/>
          <w:lang w:val="en-GB"/>
        </w:rPr>
        <w:t xml:space="preserve">NB: </w:t>
      </w:r>
      <w:bookmarkStart w:id="0" w:name="_GoBack"/>
      <w:bookmarkEnd w:id="0"/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Adapted from the PRISMA 2020 statement (Page et al., 2021). n = 131 records identified across three databases (PubMed, Scopus, Web of Science); 47 duplicates removed; 84 unique records screened; 77 excluded at title/abstract stage; 7 full texts assessed for eligibility, of which 1 was excluded (not a qualitative design); 5 additional records identified via citation searching, of which 1 was excluded (high-income setting, predominantly patient sample); 10 studies included in the final synthesis (6 from database searching, 4 from citation searching).</w:t>
      </w:r>
    </w:p>
    <w:sectPr>
      <w:pgSz w:w="11906" w:h="16838"/>
      <w:pgMar w:top="1000" w:right="900" w:bottom="10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9F84D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75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2026-09-26T14:19:00Z</dcterms:created>
  <dc:creator>Un-named</dc:creator>
  <cp:lastModifiedBy>Olamide Gabriel</cp:lastModifiedBy>
  <dcterms:modified xsi:type="dcterms:W3CDTF">2026-09-26T16:03:29Z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EC6C21EDADC4494CABB8AEEEFA140DD2_12</vt:lpwstr>
  </property>
</Properties>
</file>