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</w:rPr>
      </w:pPr>
      <w:r>
        <w:rPr>
          <w:highlight w:val="yellow"/>
        </w:rPr>
        <w:t>疑问：</w:t>
      </w:r>
      <w:r>
        <w:rPr>
          <w:highlight w:val="yellow"/>
        </w:rPr>
        <w:t>times</w:t>
      </w:r>
      <w:r>
        <w:rPr>
          <w:highlight w:val="yellow"/>
        </w:rPr>
        <w:t>是关键字？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hyperlink r:id="rId3">
        <w:r>
          <w:rPr/>
          <w:t>)</w:t>
        </w:r>
      </w:hyperlink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2014-05-04</w:t>
      </w:r>
    </w:p>
    <w:p>
      <w:pPr>
        <w:pStyle w:val="Style12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2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2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0">
    <w:name w:val="编号字符"/>
    <w:rPr/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6">
    <w:name w:val="引用文"/>
    <w:basedOn w:val="Normal"/>
    <w:pPr/>
    <w:rPr/>
  </w:style>
  <w:style w:type="paragraph" w:styleId="Style17">
    <w:name w:val="大标题"/>
    <w:basedOn w:val="Style11"/>
    <w:pPr/>
    <w:rPr/>
  </w:style>
  <w:style w:type="paragraph" w:styleId="Style18">
    <w:name w:val="分标题"/>
    <w:basedOn w:val="Style11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