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w:t>
            </w:r>
            <w:r w:rsidRPr="0016189A">
              <w:rPr>
                <w:rStyle w:val="Hyperlink"/>
                <w:noProof/>
                <w:lang w:val="el-GR"/>
              </w:rPr>
              <w:t>λ</w:t>
            </w:r>
            <w:r w:rsidRPr="0016189A">
              <w:rPr>
                <w:rStyle w:val="Hyperlink"/>
                <w:noProof/>
                <w:lang w:val="el-GR"/>
              </w:rPr>
              <w:t>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 xml:space="preserve">Προσθήκη </w:t>
      </w:r>
      <w:r w:rsidRPr="006F4CC4">
        <w:rPr>
          <w:b/>
          <w:bCs/>
          <w:lang w:val="el-GR"/>
        </w:rPr>
        <w:t>Εναλλακτική</w:t>
      </w:r>
      <w:r w:rsidRPr="006F4CC4">
        <w:rPr>
          <w:b/>
          <w:bCs/>
          <w:lang w:val="el-GR"/>
        </w:rPr>
        <w:t>ς</w:t>
      </w:r>
      <w:r w:rsidRPr="006F4CC4">
        <w:rPr>
          <w:b/>
          <w:bCs/>
          <w:lang w:val="el-GR"/>
        </w:rPr>
        <w:t xml:space="preserve">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904CBC" w:rsidRDefault="00B04B9C" w:rsidP="00AC22D6">
      <w:pPr>
        <w:pStyle w:val="ListParagraph"/>
        <w:spacing w:line="276" w:lineRule="auto"/>
        <w:ind w:left="360"/>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Default="004C5435" w:rsidP="00DE5AAC">
      <w:pPr>
        <w:spacing w:line="276" w:lineRule="auto"/>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w:t>
            </w:r>
            <w:r w:rsidRPr="00614E72">
              <w:rPr>
                <w:lang w:val="el-GR"/>
              </w:rPr>
              <w:t>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 xml:space="preserve">Το </w:t>
            </w:r>
            <w:r w:rsidR="006B40D2">
              <w:rPr>
                <w:lang w:val="el-GR"/>
              </w:rPr>
              <w:t>σύστημα τερματίζει την διαδικασία Τοποθεσίας Ακινήτου και επιστρέφει στην αρχική οθόνη.</w:t>
            </w:r>
          </w:p>
        </w:tc>
      </w:tr>
      <w:tr w:rsidR="0025638C"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w:t>
            </w:r>
            <w:r>
              <w:rPr>
                <w:lang w:val="el-GR"/>
              </w:rPr>
              <w:t xml:space="preserve">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Default="000F2418" w:rsidP="00436196">
            <w:pPr>
              <w:jc w:val="center"/>
              <w:rPr>
                <w:b/>
                <w:bCs/>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Default="000F2418" w:rsidP="00436196">
            <w:pPr>
              <w:jc w:val="center"/>
              <w:rPr>
                <w:b/>
                <w:bCs/>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w:t>
            </w:r>
            <w:r>
              <w:rPr>
                <w:lang w:val="el-GR"/>
              </w:rPr>
              <w:t>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AC514C" w:rsidRDefault="009535DF" w:rsidP="00492759">
      <w:pPr>
        <w:pStyle w:val="ListParagraph"/>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w:t>
              </w:r>
              <w:r w:rsidR="00D40F5C" w:rsidRPr="00D40F5C">
                <w:rPr>
                  <w:rStyle w:val="Hyperlink"/>
                  <w:lang w:val="el-GR"/>
                </w:rPr>
                <w:t>λ</w:t>
              </w:r>
              <w:r w:rsidR="00D40F5C" w:rsidRPr="00D40F5C">
                <w:rPr>
                  <w:rStyle w:val="Hyperlink"/>
                  <w:lang w:val="el-GR"/>
                </w:rPr>
                <w:t>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 xml:space="preserve">5. </w:t>
            </w:r>
            <w:r>
              <w:rPr>
                <w:lang w:val="el-GR"/>
              </w:rPr>
              <w:t>σύστημα ανιχνεύει την ολοκλήρωση της περίπτωσης χρήστης και επιστρέφει στο βήμα 4 της βασικής ροής.</w:t>
            </w:r>
          </w:p>
        </w:tc>
      </w:tr>
      <w:tr w:rsidR="00770C2A"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lastRenderedPageBreak/>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lastRenderedPageBreak/>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lastRenderedPageBreak/>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lastRenderedPageBreak/>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lastRenderedPageBreak/>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lastRenderedPageBreak/>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366CB" w14:textId="77777777" w:rsidR="00B219A6" w:rsidRDefault="00B219A6" w:rsidP="00800DAC">
      <w:pPr>
        <w:spacing w:after="0" w:line="240" w:lineRule="auto"/>
      </w:pPr>
      <w:r>
        <w:separator/>
      </w:r>
    </w:p>
  </w:endnote>
  <w:endnote w:type="continuationSeparator" w:id="0">
    <w:p w14:paraId="1E0A34FA" w14:textId="77777777" w:rsidR="00B219A6" w:rsidRDefault="00B219A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14E8D" w14:textId="77777777" w:rsidR="00B219A6" w:rsidRDefault="00B219A6" w:rsidP="00800DAC">
      <w:pPr>
        <w:spacing w:after="0" w:line="240" w:lineRule="auto"/>
      </w:pPr>
      <w:r>
        <w:separator/>
      </w:r>
    </w:p>
  </w:footnote>
  <w:footnote w:type="continuationSeparator" w:id="0">
    <w:p w14:paraId="357900BC" w14:textId="77777777" w:rsidR="00B219A6" w:rsidRDefault="00B219A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9"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3"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8"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5"/>
  </w:num>
  <w:num w:numId="2" w16cid:durableId="678701199">
    <w:abstractNumId w:val="11"/>
  </w:num>
  <w:num w:numId="3" w16cid:durableId="1473675055">
    <w:abstractNumId w:val="112"/>
  </w:num>
  <w:num w:numId="4" w16cid:durableId="473913957">
    <w:abstractNumId w:val="15"/>
  </w:num>
  <w:num w:numId="5" w16cid:durableId="1551071687">
    <w:abstractNumId w:val="45"/>
  </w:num>
  <w:num w:numId="6" w16cid:durableId="1494371188">
    <w:abstractNumId w:val="41"/>
  </w:num>
  <w:num w:numId="7" w16cid:durableId="1735816189">
    <w:abstractNumId w:val="74"/>
  </w:num>
  <w:num w:numId="8" w16cid:durableId="2035500541">
    <w:abstractNumId w:val="123"/>
  </w:num>
  <w:num w:numId="9" w16cid:durableId="585119284">
    <w:abstractNumId w:val="84"/>
  </w:num>
  <w:num w:numId="10" w16cid:durableId="1989164952">
    <w:abstractNumId w:val="73"/>
  </w:num>
  <w:num w:numId="11" w16cid:durableId="310254893">
    <w:abstractNumId w:val="102"/>
  </w:num>
  <w:num w:numId="12" w16cid:durableId="1594588835">
    <w:abstractNumId w:val="44"/>
  </w:num>
  <w:num w:numId="13" w16cid:durableId="1607930790">
    <w:abstractNumId w:val="52"/>
  </w:num>
  <w:num w:numId="14" w16cid:durableId="1562908401">
    <w:abstractNumId w:val="46"/>
  </w:num>
  <w:num w:numId="15" w16cid:durableId="344983210">
    <w:abstractNumId w:val="95"/>
  </w:num>
  <w:num w:numId="16" w16cid:durableId="1449348051">
    <w:abstractNumId w:val="109"/>
  </w:num>
  <w:num w:numId="17" w16cid:durableId="1056733765">
    <w:abstractNumId w:val="65"/>
  </w:num>
  <w:num w:numId="18" w16cid:durableId="267005381">
    <w:abstractNumId w:val="87"/>
  </w:num>
  <w:num w:numId="19" w16cid:durableId="179124019">
    <w:abstractNumId w:val="25"/>
  </w:num>
  <w:num w:numId="20" w16cid:durableId="1049767584">
    <w:abstractNumId w:val="54"/>
  </w:num>
  <w:num w:numId="21" w16cid:durableId="183055058">
    <w:abstractNumId w:val="4"/>
  </w:num>
  <w:num w:numId="22" w16cid:durableId="508712459">
    <w:abstractNumId w:val="138"/>
  </w:num>
  <w:num w:numId="23" w16cid:durableId="1943536121">
    <w:abstractNumId w:val="42"/>
  </w:num>
  <w:num w:numId="24" w16cid:durableId="426195526">
    <w:abstractNumId w:val="135"/>
  </w:num>
  <w:num w:numId="25" w16cid:durableId="1463883268">
    <w:abstractNumId w:val="98"/>
  </w:num>
  <w:num w:numId="26" w16cid:durableId="2140998020">
    <w:abstractNumId w:val="75"/>
  </w:num>
  <w:num w:numId="27" w16cid:durableId="1569875539">
    <w:abstractNumId w:val="103"/>
  </w:num>
  <w:num w:numId="28" w16cid:durableId="1616211520">
    <w:abstractNumId w:val="71"/>
  </w:num>
  <w:num w:numId="29" w16cid:durableId="1692684133">
    <w:abstractNumId w:val="5"/>
  </w:num>
  <w:num w:numId="30" w16cid:durableId="897547314">
    <w:abstractNumId w:val="24"/>
  </w:num>
  <w:num w:numId="31" w16cid:durableId="1470631900">
    <w:abstractNumId w:val="124"/>
  </w:num>
  <w:num w:numId="32" w16cid:durableId="323508029">
    <w:abstractNumId w:val="1"/>
  </w:num>
  <w:num w:numId="33" w16cid:durableId="422802318">
    <w:abstractNumId w:val="128"/>
  </w:num>
  <w:num w:numId="34" w16cid:durableId="484901370">
    <w:abstractNumId w:val="28"/>
  </w:num>
  <w:num w:numId="35" w16cid:durableId="1325468">
    <w:abstractNumId w:val="59"/>
  </w:num>
  <w:num w:numId="36" w16cid:durableId="1774475643">
    <w:abstractNumId w:val="136"/>
  </w:num>
  <w:num w:numId="37" w16cid:durableId="828518055">
    <w:abstractNumId w:val="106"/>
  </w:num>
  <w:num w:numId="38" w16cid:durableId="1412585811">
    <w:abstractNumId w:val="121"/>
  </w:num>
  <w:num w:numId="39" w16cid:durableId="941375811">
    <w:abstractNumId w:val="131"/>
  </w:num>
  <w:num w:numId="40" w16cid:durableId="873689798">
    <w:abstractNumId w:val="119"/>
  </w:num>
  <w:num w:numId="41" w16cid:durableId="2083062867">
    <w:abstractNumId w:val="23"/>
  </w:num>
  <w:num w:numId="42" w16cid:durableId="1570537370">
    <w:abstractNumId w:val="111"/>
  </w:num>
  <w:num w:numId="43" w16cid:durableId="868252384">
    <w:abstractNumId w:val="6"/>
  </w:num>
  <w:num w:numId="44" w16cid:durableId="1816989766">
    <w:abstractNumId w:val="55"/>
  </w:num>
  <w:num w:numId="45" w16cid:durableId="326246437">
    <w:abstractNumId w:val="81"/>
  </w:num>
  <w:num w:numId="46" w16cid:durableId="365910238">
    <w:abstractNumId w:val="57"/>
  </w:num>
  <w:num w:numId="47" w16cid:durableId="1308164984">
    <w:abstractNumId w:val="21"/>
  </w:num>
  <w:num w:numId="48" w16cid:durableId="1617297635">
    <w:abstractNumId w:val="96"/>
  </w:num>
  <w:num w:numId="49" w16cid:durableId="1780368137">
    <w:abstractNumId w:val="20"/>
  </w:num>
  <w:num w:numId="50" w16cid:durableId="328288760">
    <w:abstractNumId w:val="133"/>
  </w:num>
  <w:num w:numId="51" w16cid:durableId="1149054017">
    <w:abstractNumId w:val="66"/>
  </w:num>
  <w:num w:numId="52" w16cid:durableId="2119835597">
    <w:abstractNumId w:val="50"/>
  </w:num>
  <w:num w:numId="53" w16cid:durableId="355469033">
    <w:abstractNumId w:val="108"/>
  </w:num>
  <w:num w:numId="54" w16cid:durableId="1421874614">
    <w:abstractNumId w:val="72"/>
  </w:num>
  <w:num w:numId="55" w16cid:durableId="184097463">
    <w:abstractNumId w:val="31"/>
  </w:num>
  <w:num w:numId="56" w16cid:durableId="1457064613">
    <w:abstractNumId w:val="139"/>
  </w:num>
  <w:num w:numId="57" w16cid:durableId="826286377">
    <w:abstractNumId w:val="0"/>
  </w:num>
  <w:num w:numId="58" w16cid:durableId="1404258060">
    <w:abstractNumId w:val="53"/>
  </w:num>
  <w:num w:numId="59" w16cid:durableId="1864510322">
    <w:abstractNumId w:val="35"/>
  </w:num>
  <w:num w:numId="60" w16cid:durableId="728383420">
    <w:abstractNumId w:val="100"/>
  </w:num>
  <w:num w:numId="61" w16cid:durableId="1113940273">
    <w:abstractNumId w:val="56"/>
  </w:num>
  <w:num w:numId="62" w16cid:durableId="1176379213">
    <w:abstractNumId w:val="82"/>
  </w:num>
  <w:num w:numId="63" w16cid:durableId="1833839020">
    <w:abstractNumId w:val="104"/>
  </w:num>
  <w:num w:numId="64" w16cid:durableId="1002514378">
    <w:abstractNumId w:val="93"/>
  </w:num>
  <w:num w:numId="65" w16cid:durableId="1789736250">
    <w:abstractNumId w:val="49"/>
  </w:num>
  <w:num w:numId="66" w16cid:durableId="1887570295">
    <w:abstractNumId w:val="90"/>
  </w:num>
  <w:num w:numId="67" w16cid:durableId="1245450575">
    <w:abstractNumId w:val="94"/>
  </w:num>
  <w:num w:numId="68" w16cid:durableId="258225140">
    <w:abstractNumId w:val="85"/>
  </w:num>
  <w:num w:numId="69" w16cid:durableId="1160653717">
    <w:abstractNumId w:val="92"/>
  </w:num>
  <w:num w:numId="70" w16cid:durableId="284316820">
    <w:abstractNumId w:val="38"/>
  </w:num>
  <w:num w:numId="71" w16cid:durableId="1485124286">
    <w:abstractNumId w:val="32"/>
  </w:num>
  <w:num w:numId="72" w16cid:durableId="1267076738">
    <w:abstractNumId w:val="130"/>
  </w:num>
  <w:num w:numId="73" w16cid:durableId="1743603049">
    <w:abstractNumId w:val="64"/>
  </w:num>
  <w:num w:numId="74" w16cid:durableId="382556292">
    <w:abstractNumId w:val="86"/>
  </w:num>
  <w:num w:numId="75" w16cid:durableId="957952466">
    <w:abstractNumId w:val="118"/>
  </w:num>
  <w:num w:numId="76" w16cid:durableId="559555753">
    <w:abstractNumId w:val="18"/>
  </w:num>
  <w:num w:numId="77" w16cid:durableId="1686129909">
    <w:abstractNumId w:val="30"/>
  </w:num>
  <w:num w:numId="78" w16cid:durableId="1224683787">
    <w:abstractNumId w:val="110"/>
  </w:num>
  <w:num w:numId="79" w16cid:durableId="1884444630">
    <w:abstractNumId w:val="140"/>
  </w:num>
  <w:num w:numId="80" w16cid:durableId="1934625982">
    <w:abstractNumId w:val="19"/>
  </w:num>
  <w:num w:numId="81" w16cid:durableId="814832688">
    <w:abstractNumId w:val="129"/>
  </w:num>
  <w:num w:numId="82" w16cid:durableId="1955286403">
    <w:abstractNumId w:val="116"/>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7"/>
  </w:num>
  <w:num w:numId="90" w16cid:durableId="1432779072">
    <w:abstractNumId w:val="83"/>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9"/>
  </w:num>
  <w:num w:numId="97" w16cid:durableId="301885446">
    <w:abstractNumId w:val="137"/>
  </w:num>
  <w:num w:numId="98" w16cid:durableId="1440489119">
    <w:abstractNumId w:val="105"/>
  </w:num>
  <w:num w:numId="99" w16cid:durableId="158927622">
    <w:abstractNumId w:val="40"/>
  </w:num>
  <w:num w:numId="100" w16cid:durableId="742457394">
    <w:abstractNumId w:val="63"/>
  </w:num>
  <w:num w:numId="101" w16cid:durableId="26879911">
    <w:abstractNumId w:val="122"/>
  </w:num>
  <w:num w:numId="102" w16cid:durableId="375744171">
    <w:abstractNumId w:val="127"/>
  </w:num>
  <w:num w:numId="103" w16cid:durableId="539782499">
    <w:abstractNumId w:val="80"/>
  </w:num>
  <w:num w:numId="104" w16cid:durableId="1317799061">
    <w:abstractNumId w:val="14"/>
  </w:num>
  <w:num w:numId="105" w16cid:durableId="831218891">
    <w:abstractNumId w:val="2"/>
  </w:num>
  <w:num w:numId="106" w16cid:durableId="399982687">
    <w:abstractNumId w:val="76"/>
  </w:num>
  <w:num w:numId="107" w16cid:durableId="410929580">
    <w:abstractNumId w:val="12"/>
  </w:num>
  <w:num w:numId="108" w16cid:durableId="2021153316">
    <w:abstractNumId w:val="120"/>
  </w:num>
  <w:num w:numId="109" w16cid:durableId="291711121">
    <w:abstractNumId w:val="36"/>
  </w:num>
  <w:num w:numId="110" w16cid:durableId="356783068">
    <w:abstractNumId w:val="16"/>
  </w:num>
  <w:num w:numId="111" w16cid:durableId="1279557328">
    <w:abstractNumId w:val="9"/>
  </w:num>
  <w:num w:numId="112" w16cid:durableId="624773505">
    <w:abstractNumId w:val="101"/>
  </w:num>
  <w:num w:numId="113" w16cid:durableId="527642207">
    <w:abstractNumId w:val="68"/>
  </w:num>
  <w:num w:numId="114" w16cid:durableId="1629051078">
    <w:abstractNumId w:val="91"/>
  </w:num>
  <w:num w:numId="115" w16cid:durableId="162547013">
    <w:abstractNumId w:val="51"/>
  </w:num>
  <w:num w:numId="116" w16cid:durableId="2057123435">
    <w:abstractNumId w:val="126"/>
  </w:num>
  <w:num w:numId="117" w16cid:durableId="598098340">
    <w:abstractNumId w:val="134"/>
  </w:num>
  <w:num w:numId="118" w16cid:durableId="1853103564">
    <w:abstractNumId w:val="88"/>
  </w:num>
  <w:num w:numId="119" w16cid:durableId="1850831894">
    <w:abstractNumId w:val="58"/>
  </w:num>
  <w:num w:numId="120" w16cid:durableId="738133674">
    <w:abstractNumId w:val="89"/>
  </w:num>
  <w:num w:numId="121" w16cid:durableId="200484432">
    <w:abstractNumId w:val="27"/>
  </w:num>
  <w:num w:numId="122" w16cid:durableId="1859388939">
    <w:abstractNumId w:val="26"/>
  </w:num>
  <w:num w:numId="123" w16cid:durableId="1470703000">
    <w:abstractNumId w:val="114"/>
  </w:num>
  <w:num w:numId="124" w16cid:durableId="1248923232">
    <w:abstractNumId w:val="62"/>
  </w:num>
  <w:num w:numId="125" w16cid:durableId="522549719">
    <w:abstractNumId w:val="22"/>
  </w:num>
  <w:num w:numId="126" w16cid:durableId="1811048112">
    <w:abstractNumId w:val="77"/>
  </w:num>
  <w:num w:numId="127" w16cid:durableId="109446162">
    <w:abstractNumId w:val="107"/>
  </w:num>
  <w:num w:numId="128" w16cid:durableId="1434205253">
    <w:abstractNumId w:val="97"/>
  </w:num>
  <w:num w:numId="129" w16cid:durableId="694114796">
    <w:abstractNumId w:val="3"/>
  </w:num>
  <w:num w:numId="130" w16cid:durableId="194658425">
    <w:abstractNumId w:val="39"/>
  </w:num>
  <w:num w:numId="131" w16cid:durableId="1738822421">
    <w:abstractNumId w:val="17"/>
  </w:num>
  <w:num w:numId="132" w16cid:durableId="1715349035">
    <w:abstractNumId w:val="115"/>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32"/>
  </w:num>
  <w:num w:numId="138" w16cid:durableId="1080524367">
    <w:abstractNumId w:val="113"/>
  </w:num>
  <w:num w:numId="139" w16cid:durableId="2112578411">
    <w:abstractNumId w:val="99"/>
  </w:num>
  <w:num w:numId="140" w16cid:durableId="1566910430">
    <w:abstractNumId w:val="78"/>
  </w:num>
  <w:num w:numId="141" w16cid:durableId="18024075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5B02"/>
    <w:rsid w:val="00267280"/>
    <w:rsid w:val="00270E57"/>
    <w:rsid w:val="00274B41"/>
    <w:rsid w:val="0028004F"/>
    <w:rsid w:val="0028394A"/>
    <w:rsid w:val="00284E27"/>
    <w:rsid w:val="0028572B"/>
    <w:rsid w:val="00290866"/>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64697"/>
    <w:rsid w:val="00367557"/>
    <w:rsid w:val="0037063F"/>
    <w:rsid w:val="003711E4"/>
    <w:rsid w:val="003771D3"/>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6A94"/>
    <w:rsid w:val="004B03EC"/>
    <w:rsid w:val="004B0C1A"/>
    <w:rsid w:val="004B105E"/>
    <w:rsid w:val="004B3365"/>
    <w:rsid w:val="004B3854"/>
    <w:rsid w:val="004B65E9"/>
    <w:rsid w:val="004B660A"/>
    <w:rsid w:val="004C1348"/>
    <w:rsid w:val="004C185E"/>
    <w:rsid w:val="004C2212"/>
    <w:rsid w:val="004C23CA"/>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19A6"/>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C4366"/>
    <w:rsid w:val="00BC4C10"/>
    <w:rsid w:val="00BC5B70"/>
    <w:rsid w:val="00BC7A35"/>
    <w:rsid w:val="00BC7C24"/>
    <w:rsid w:val="00BD48D5"/>
    <w:rsid w:val="00BD5317"/>
    <w:rsid w:val="00BE258F"/>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EEB"/>
    <w:rsid w:val="00C21F79"/>
    <w:rsid w:val="00C22DC3"/>
    <w:rsid w:val="00C2450F"/>
    <w:rsid w:val="00C24800"/>
    <w:rsid w:val="00C24962"/>
    <w:rsid w:val="00C24A82"/>
    <w:rsid w:val="00C24E9D"/>
    <w:rsid w:val="00C25062"/>
    <w:rsid w:val="00C27143"/>
    <w:rsid w:val="00C27D2A"/>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55</Pages>
  <Words>9375</Words>
  <Characters>53438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182</cp:revision>
  <cp:lastPrinted>2025-04-04T18:53:00Z</cp:lastPrinted>
  <dcterms:created xsi:type="dcterms:W3CDTF">2025-04-23T18:54:00Z</dcterms:created>
  <dcterms:modified xsi:type="dcterms:W3CDTF">2025-04-24T17:54:00Z</dcterms:modified>
</cp:coreProperties>
</file>