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整体来看，这四个项目已经具备了较强的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Fonts w:ascii="Times Roman" w:hAnsi="Times Roman"/>
          <w:rtl w:val="0"/>
          <w:lang w:val="en-US"/>
        </w:rPr>
        <w:t>Project-Based Learning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）雏形：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都有现实问题导向、</w:t>
      </w:r>
      <w:r>
        <w:rPr>
          <w:rFonts w:ascii="Times Roman" w:hAnsi="Times Roman"/>
          <w:rtl w:val="0"/>
          <w:lang w:val="pt-PT"/>
        </w:rPr>
        <w:t>SDG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连接、跨学科研究潜力与真实世界意义。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但如果从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高质量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的标准进一步提升，还需要强化以下四个核心维度：</w:t>
      </w:r>
    </w:p>
    <w:p>
      <w:pPr>
        <w:pStyle w:val="默认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Driving Question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（驱动性问题）是否足够聚焦且可研究</w:t>
      </w:r>
    </w:p>
    <w:p>
      <w:pPr>
        <w:pStyle w:val="默认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项目成果（</w:t>
      </w:r>
      <w:r>
        <w:rPr>
          <w:rFonts w:ascii="Times Roman" w:hAnsi="Times Roman"/>
          <w:b w:val="1"/>
          <w:bCs w:val="1"/>
          <w:rtl w:val="0"/>
          <w:lang w:val="en-US"/>
        </w:rPr>
        <w:t>Product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）是否真实、具体、可展示</w:t>
      </w:r>
    </w:p>
    <w:p>
      <w:pPr>
        <w:pStyle w:val="默认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研究路径是否符合学术研究逻辑</w:t>
      </w:r>
    </w:p>
    <w:p>
      <w:pPr>
        <w:pStyle w:val="默认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Times Roman" w:hint="eastAsia"/>
          <w:b w:val="1"/>
          <w:bCs w:val="1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一个月时间内是否能形成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完成度高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的成果，而非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大而空</w:t>
      </w:r>
      <w:r>
        <w:rPr>
          <w:rFonts w:ascii="Times Roman" w:hAnsi="Times Roman" w:hint="default"/>
          <w:b w:val="1"/>
          <w:bCs w:val="1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下面按照这四个项目分别进行进一步深化指导。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项目一：亚洲全球城市中的住房、教育与青年不平等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TW" w:eastAsia="zh-TW"/>
        </w:rPr>
        <w:t>一、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角度进一步优化：问题需要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真实且可回答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当前问题仍偏宏大，容易变成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资料拼贴型研究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建议重新升级为：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住房政策如何影响全球城市中青年教育机会的不平等？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然后再落实到：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香港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sv-SE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新加坡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或上海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sv-SE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北京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或同一城市内部不同区域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这样会更符合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中的：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开放性问题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可调查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有现实政策意义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二、进一步聚焦（关键）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目前最大的风险：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研究对象太大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数据太散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结论空泛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建议缩小到：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推荐最佳版本（一个月最稳）</w:t>
      </w:r>
    </w:p>
    <w:p>
      <w:pPr>
        <w:pStyle w:val="默认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题目：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香港与新加坡公共住房政策对青年教育机会的影响比较研究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因为它同时具备：</w:t>
      </w:r>
    </w:p>
    <w:tbl>
      <w:tblPr>
        <w:tblW w:w="52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40"/>
        <w:gridCol w:w="3513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优势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说明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SDG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连接强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SDG4 + SDG10 + SDG11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数据成熟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两地政府统计透明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政策差异明显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香港高房价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vs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新加坡高公屋覆盖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可形成比较分析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非纯描述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一个月可完成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不需要复杂田野调查</w:t>
            </w:r>
          </w:p>
        </w:tc>
      </w:tr>
    </w:tbl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三、研究方法还需要再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学术化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目前方法偏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搜资料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建议加入：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（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）明确变量</w:t>
      </w:r>
    </w:p>
    <w:tbl>
      <w:tblPr>
        <w:tblW w:w="348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20"/>
        <w:gridCol w:w="2460"/>
      </w:tblGrid>
      <w:tr>
        <w:tblPrEx>
          <w:shd w:val="clear" w:color="auto" w:fill="auto"/>
        </w:tblPrEx>
        <w:trPr>
          <w:trHeight w:val="687" w:hRule="atLeast"/>
        </w:trPr>
        <w:tc>
          <w:tcPr>
            <w:tcW w:type="dxa" w:w="1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变量类型</w:t>
            </w:r>
          </w:p>
        </w:tc>
        <w:tc>
          <w:tcPr>
            <w:tcW w:type="dxa" w:w="2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示例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自变量</w:t>
            </w:r>
          </w:p>
        </w:tc>
        <w:tc>
          <w:tcPr>
            <w:tcW w:type="dxa" w:w="2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公共住房覆盖率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因变量</w:t>
            </w:r>
          </w:p>
        </w:tc>
        <w:tc>
          <w:tcPr>
            <w:tcW w:type="dxa" w:w="2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青年升学率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/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教育机会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中介变量</w:t>
            </w:r>
          </w:p>
        </w:tc>
        <w:tc>
          <w:tcPr>
            <w:tcW w:type="dxa" w:w="2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居住稳定性、社区资源</w:t>
            </w:r>
          </w:p>
        </w:tc>
      </w:tr>
    </w:tbl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这样研究会更像真正的社会科学研究。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（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）加入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TW" w:eastAsia="zh-TW"/>
        </w:rPr>
        <w:t>案例分析法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不要只做数据对比。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各选</w:t>
      </w:r>
      <w:r>
        <w:rPr>
          <w:rFonts w:ascii="Times Roman" w:hAnsi="Times Roman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个典型社区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分析其教育资源分布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比较青年成长路径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这样会提升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故事性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和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展示效果。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TW" w:eastAsia="zh-TW"/>
        </w:rPr>
        <w:t>四、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成果（非常重要）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目前只有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论文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建议增加：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城市教育机会地图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数据可视化海报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政策建议书（给市政府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教育局）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如果你是城市规划者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方案设计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这样才能体现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真实行动（</w:t>
      </w:r>
      <w:r>
        <w:rPr>
          <w:rFonts w:ascii="Times Roman" w:hAnsi="Times Roman"/>
          <w:rtl w:val="0"/>
          <w:lang w:val="en-US"/>
        </w:rPr>
        <w:t>Authentic Product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）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五、时间轴优化（更符合研究逻辑）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第一周重点不应只是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读文献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而应该：</w:t>
      </w:r>
    </w:p>
    <w:p>
      <w:pPr>
        <w:pStyle w:val="默认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Week 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：研究设计周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必须完成：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最终研究问题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变量定义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数据指标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比较框架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核心文献摘要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否则后面会失控。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项目二：成绩分层下教师关注差异研究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这是四个项目中：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最符合高质量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与教育研究逻辑的项目。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它具备：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真问题（课堂真实存在）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可观察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可干预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可反馈学校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有行动意义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这是典型的：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Action Research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（行动研究）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非常适合高中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一、进一步升级驱动性问题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目前题目偏描述。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建议升级为：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教师是否会无意识地把更多关注给予高成就学生？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或者：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课堂中的教师关注分配是否会加剧教育不平等？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这样更具有：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冲突性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可探究性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社会意义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TW" w:eastAsia="zh-TW"/>
        </w:rPr>
        <w:t>二、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核心升级：从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发现问题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到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提出改进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很多学生只会停留在：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教师确实更关注成绩好的学生。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但真正高质量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应该进一步：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增加：</w:t>
      </w:r>
    </w:p>
    <w:p>
      <w:pPr>
        <w:pStyle w:val="默认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如何改善教师关注分配？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例如：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座位轮换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提问分配机制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小组合作结构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教师自我反思记录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最后可以设计：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项目成果：</w:t>
      </w:r>
    </w:p>
    <w:p>
      <w:pPr>
        <w:pStyle w:val="默认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《更公平课堂建议手册》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这会让项目从：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研究</w:t>
      </w:r>
      <w:r>
        <w:rPr>
          <w:rFonts w:ascii="Times Roman" w:hAnsi="Times Roman" w:hint="default"/>
          <w:rtl w:val="0"/>
        </w:rPr>
        <w:t>”</w:t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升级为：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真实教育改进项目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这是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非常重要的一点。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三、研究方法进一步规范化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目前最大的风险：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观察会非常主观。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因此建议：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（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）建立观察编码表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例如：</w:t>
      </w:r>
    </w:p>
    <w:tbl>
      <w:tblPr>
        <w:tblW w:w="252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80"/>
        <w:gridCol w:w="540"/>
      </w:tblGrid>
      <w:tr>
        <w:tblPrEx>
          <w:shd w:val="clear" w:color="auto" w:fill="auto"/>
        </w:tblPrEx>
        <w:trPr>
          <w:trHeight w:val="687" w:hRule="atLeast"/>
        </w:trPr>
        <w:tc>
          <w:tcPr>
            <w:tcW w:type="dxa" w:w="1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教师行为</w:t>
            </w:r>
          </w:p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次数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点名提问高分学生</w:t>
            </w:r>
          </w:p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点名提问中等学生</w:t>
            </w:r>
          </w:p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点名提问低分学生</w:t>
            </w:r>
          </w:p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眼神停留</w:t>
            </w:r>
          </w:p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9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个别辅导</w:t>
            </w:r>
          </w:p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这样才能形成真正的数据。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（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）增加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三角验证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高质量研究不能只靠一种数据。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建议：</w:t>
      </w:r>
    </w:p>
    <w:tbl>
      <w:tblPr>
        <w:tblW w:w="204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20"/>
        <w:gridCol w:w="102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1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方法</w:t>
            </w:r>
          </w:p>
        </w:tc>
        <w:tc>
          <w:tcPr>
            <w:tcW w:type="dxa" w:w="1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作用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课堂观察</w:t>
            </w:r>
          </w:p>
        </w:tc>
        <w:tc>
          <w:tcPr>
            <w:tcW w:type="dxa" w:w="1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客观行为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学生问卷</w:t>
            </w:r>
          </w:p>
        </w:tc>
        <w:tc>
          <w:tcPr>
            <w:tcW w:type="dxa" w:w="1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主观感受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教师访谈</w:t>
            </w:r>
          </w:p>
        </w:tc>
        <w:tc>
          <w:tcPr>
            <w:tcW w:type="dxa" w:w="10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教学意图</w:t>
            </w:r>
          </w:p>
        </w:tc>
      </w:tr>
    </w:tbl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三者互相验证。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四、伦理部分还可以进一步加强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建议加入：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研究伦理声明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包括：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不评价教师教学质量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数据仅用于学术研究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不公开具体班级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不影响学生成绩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这样会更专业。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五、一个月时间轴优化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第一周必须完成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工具试测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很多学生忽略：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问卷可能有问题。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建议：</w:t>
      </w:r>
    </w:p>
    <w:p>
      <w:pPr>
        <w:pStyle w:val="默认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月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28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日前完成：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小规模试观察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2-3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人试填问卷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修改问题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否则正式收集数据后容易失效。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项目三：免费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付费网络小说平台对青少年消费的影响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这是四个项目里：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最具有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青年文化研究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特色的项目。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优点：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学生容易接触真实样本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数据容易获取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与数字消费高度相关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非常贴近</w:t>
      </w:r>
      <w:r>
        <w:rPr>
          <w:rFonts w:ascii="Times Roman" w:hAnsi="Times Roman"/>
          <w:rtl w:val="0"/>
          <w:lang w:val="fr-FR"/>
        </w:rPr>
        <w:t>SDG 12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（负责任消费）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一、目前最大问题：研究范围仍有些散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当前同时研究：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阅读习惯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消费行为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衍生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平台模式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容易过宽。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二、建议缩成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一个核心问题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推荐最佳版本：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免费阅读平台是否会影响青少年的网络文学消费行为？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然后围绕：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阅读频率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付费意愿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冲动消费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广告影响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展开。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这样会更清晰。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三、进一步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化：增加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媒介素养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维度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不要只做商业研究。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建议加入：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关键问题：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青少年是否意识到平台算法与广告在影响消费？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这会直接连接：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SDG 4.4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（数字素养）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SDG 12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（理性消费）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研究深度会立刻提升。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四、研究方法进一步升级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当前最大风险：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问卷会非常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浅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建议：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（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）加入消费心理维度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例如：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FOMO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（错失焦虑）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社交认同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粉丝归属感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这样理论性会增强。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（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）加入平台机制分析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比较：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起点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晋江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番茄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Wattpad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分析：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广告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免费章节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打赏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推荐机制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这样不只是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学生调查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五、成果形式建议（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感会更强）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建议增加：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成果：</w:t>
      </w:r>
    </w:p>
    <w:p>
      <w:pPr>
        <w:pStyle w:val="默认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《青少年数字阅读消费指南》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包括：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如何识别诱导消费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如何理性追更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如何管理阅读时间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这样项目会从：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研究</w:t>
      </w:r>
      <w:r>
        <w:rPr>
          <w:rFonts w:ascii="Times Roman" w:hAnsi="Times Roman" w:hint="default"/>
          <w:rtl w:val="0"/>
        </w:rPr>
        <w:t>”</w:t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变成：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社会倡议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非常符合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六、时间轴优化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建议：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第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周结束前必须达到：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问卷至少</w:t>
      </w:r>
      <w:r>
        <w:rPr>
          <w:rFonts w:ascii="Times Roman" w:hAnsi="Times Roman"/>
          <w:rtl w:val="0"/>
        </w:rPr>
        <w:t>100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份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完成至少</w:t>
      </w:r>
      <w:r>
        <w:rPr>
          <w:rFonts w:ascii="Times Roman" w:hAnsi="Times Roman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位访谈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否则后面分析会很薄弱。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项目四：中美林火防治地方性研究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这是四个项目里：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最容易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空泛化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的项目。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因为：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地理跨度大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政策复杂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缺少一手数据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容易变成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政策罗列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所以必须极度聚焦。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TW" w:eastAsia="zh-TW"/>
        </w:rPr>
        <w:t>一、最推荐的方向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不建议：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中美地方性研究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因为太大。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最推荐：</w:t>
      </w:r>
    </w:p>
    <w:p>
      <w:pPr>
        <w:pStyle w:val="默认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方向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中美林火防治政策比较研究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或者：</w:t>
      </w:r>
    </w:p>
    <w:p>
      <w:pPr>
        <w:pStyle w:val="默认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方向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（更适合一个月）：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云南与加州林火治理中的社区参与比较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为什么更好：</w:t>
      </w:r>
    </w:p>
    <w:tbl>
      <w:tblPr>
        <w:tblW w:w="444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40"/>
        <w:gridCol w:w="270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优势</w:t>
            </w:r>
          </w:p>
        </w:tc>
        <w:tc>
          <w:tcPr>
            <w:tcW w:type="dxa" w:w="2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说明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有具体案例</w:t>
            </w:r>
          </w:p>
        </w:tc>
        <w:tc>
          <w:tcPr>
            <w:tcW w:type="dxa" w:w="2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避免空泛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有真实问题</w:t>
            </w:r>
          </w:p>
        </w:tc>
        <w:tc>
          <w:tcPr>
            <w:tcW w:type="dxa" w:w="2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气候变化背景下高度现实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有明确对比维度</w:t>
            </w:r>
          </w:p>
        </w:tc>
        <w:tc>
          <w:tcPr>
            <w:tcW w:type="dxa" w:w="2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社区、技术、政府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有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SDG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关联</w:t>
            </w:r>
          </w:p>
        </w:tc>
        <w:tc>
          <w:tcPr>
            <w:tcW w:type="dxa" w:w="2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SDG13 + SDG15</w:t>
            </w:r>
          </w:p>
        </w:tc>
      </w:tr>
    </w:tbl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二、进一步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化：加入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社区韧性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不要只研究灭火。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真正高级的问题应是：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社区如何提高面对极端气候灾害的韧性？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这样项目会从：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林业研究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升级到：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可持续发展研究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层次会更高。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三、研究方法升级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当前风险：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只是政策摘抄。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建议加入：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（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）建立政策分析框架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例如：</w:t>
      </w:r>
    </w:p>
    <w:tbl>
      <w:tblPr>
        <w:tblW w:w="234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60"/>
        <w:gridCol w:w="540"/>
        <w:gridCol w:w="540"/>
      </w:tblGrid>
      <w:tr>
        <w:tblPrEx>
          <w:shd w:val="clear" w:color="auto" w:fill="auto"/>
        </w:tblPrEx>
        <w:trPr>
          <w:trHeight w:val="687" w:hRule="atLeast"/>
        </w:trPr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维度</w:t>
            </w:r>
          </w:p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中国</w:t>
            </w:r>
          </w:p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美国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预警系统</w:t>
            </w:r>
          </w:p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社区教育</w:t>
            </w:r>
          </w:p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可燃物管理</w:t>
            </w:r>
          </w:p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志愿者机制</w:t>
            </w:r>
          </w:p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这样会形成真正比较研究。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（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TW" w:eastAsia="zh-TW"/>
        </w:rPr>
        <w:t>）加入案例事件分析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例如：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2025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加州山火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云南森林火灾案例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分析：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原因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响应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社区影响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恢复机制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这样项目会更具体。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四、成果形式建议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建议最终成果不是单纯论文。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可以增加：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成果形式：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林火防灾宣传手册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社区韧性方案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中美防灾比较信息图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模拟社区应急设计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这样更符合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五、时间轴关键提醒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第一周必须完成：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最终案例选择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政策框架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比较维度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否则后面一定会变成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资料堆积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四个项目的共性提升建议（最重要）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一、所有项目都需要：</w:t>
      </w:r>
    </w:p>
    <w:p>
      <w:pPr>
        <w:pStyle w:val="默认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核心驱动性问题（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Driving Question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）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避免：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“……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研究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“……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分析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而改成：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为什么</w:t>
      </w:r>
      <w:r>
        <w:rPr>
          <w:rFonts w:ascii="Times Roman" w:hAnsi="Times Roman" w:hint="default"/>
          <w:rtl w:val="0"/>
        </w:rPr>
        <w:t>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？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是否</w:t>
      </w:r>
      <w:r>
        <w:rPr>
          <w:rFonts w:ascii="Times Roman" w:hAnsi="Times Roman" w:hint="default"/>
          <w:rtl w:val="0"/>
        </w:rPr>
        <w:t>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？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如何改善</w:t>
      </w:r>
      <w:r>
        <w:rPr>
          <w:rFonts w:ascii="Times Roman" w:hAnsi="Times Roman" w:hint="default"/>
          <w:rtl w:val="0"/>
        </w:rPr>
        <w:t>……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？</w:t>
      </w:r>
      <w:r>
        <w:rPr>
          <w:rFonts w:ascii="Times Roman" w:hAnsi="Times Roman" w:hint="default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因为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强调：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问题驱动，而不是主题驱动。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二、所有项目都需要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真实成果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不仅是论文。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建议每个项目至少包含：</w:t>
      </w:r>
    </w:p>
    <w:tbl>
      <w:tblPr>
        <w:tblW w:w="337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00"/>
        <w:gridCol w:w="1873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类型</w:t>
            </w:r>
          </w:p>
        </w:tc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示例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学术成果</w:t>
            </w:r>
          </w:p>
        </w:tc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研究报告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可视化成果</w:t>
            </w:r>
          </w:p>
        </w:tc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海报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/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信息图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社会行动成果</w:t>
            </w:r>
          </w:p>
        </w:tc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指南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/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建议书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/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倡议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展示成果</w:t>
            </w:r>
          </w:p>
        </w:tc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PPT/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答辩</w:t>
            </w:r>
          </w:p>
        </w:tc>
      </w:tr>
    </w:tbl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三、所有项目都需要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TW" w:eastAsia="zh-TW"/>
        </w:rPr>
        <w:t>方法可信度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至少做到：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明确变量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明确样本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明确数据来源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明确分析方法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否则容易停留在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观点作文</w:t>
      </w:r>
      <w:r>
        <w:rPr>
          <w:rFonts w:ascii="Times Roman" w:hAnsi="Times Roman" w:hint="default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四、所有项目都建议建立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ja-JP" w:eastAsia="ja-JP"/>
        </w:rPr>
        <w:t>研究日志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每天记录：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今日完成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遇到问题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下一步计划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这是高质量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的重要过程证据（</w:t>
      </w:r>
      <w:r>
        <w:rPr>
          <w:rFonts w:ascii="Times Roman" w:hAnsi="Times Roman"/>
          <w:rtl w:val="0"/>
          <w:lang w:val="en-US"/>
        </w:rPr>
        <w:t>Process Evidence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）。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最后：四个项目的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成熟度排序（目前）</w:t>
      </w:r>
    </w:p>
    <w:tbl>
      <w:tblPr>
        <w:tblW w:w="51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60"/>
        <w:gridCol w:w="1260"/>
        <w:gridCol w:w="1740"/>
      </w:tblGrid>
      <w:tr>
        <w:tblPrEx>
          <w:shd w:val="clear" w:color="auto" w:fill="auto"/>
        </w:tblPrEx>
        <w:trPr>
          <w:trHeight w:val="687" w:hRule="atLeast"/>
        </w:trPr>
        <w:tc>
          <w:tcPr>
            <w:tcW w:type="dxa" w:w="2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项目</w:t>
            </w:r>
          </w:p>
        </w:tc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当前成熟度</w:t>
            </w:r>
          </w:p>
        </w:tc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最大问题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项目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教师关注差异</w:t>
            </w:r>
          </w:p>
        </w:tc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★★★★★</w:t>
            </w:r>
          </w:p>
        </w:tc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伦理与数据规范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项目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网文消费</w:t>
            </w:r>
          </w:p>
        </w:tc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★★★★☆</w:t>
            </w:r>
          </w:p>
        </w:tc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理论深度不足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项目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城市不平等</w:t>
            </w:r>
          </w:p>
        </w:tc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★★★☆☆</w:t>
            </w:r>
          </w:p>
        </w:tc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范围过大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2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项目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4 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林火防治</w:t>
            </w:r>
          </w:p>
        </w:tc>
        <w:tc>
          <w:tcPr>
            <w:tcW w:type="dxa" w:w="12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★★★☆☆</w:t>
            </w:r>
          </w:p>
        </w:tc>
        <w:tc>
          <w:tcPr>
            <w:tcW w:type="dxa" w:w="17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容易空泛化</w:t>
            </w:r>
          </w:p>
        </w:tc>
      </w:tr>
    </w:tbl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给老师的最后建议（非常关键）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建议要求四位学生：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在第一周结束前提交：</w:t>
      </w:r>
    </w:p>
    <w:p>
      <w:pPr>
        <w:pStyle w:val="默认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一页式研究设计（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One-page Proposal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必须包含：</w:t>
      </w:r>
    </w:p>
    <w:p>
      <w:pPr>
        <w:pStyle w:val="默认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Driving Question</w:t>
      </w:r>
    </w:p>
    <w:p>
      <w:pPr>
        <w:pStyle w:val="默认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SDG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关联</w:t>
      </w:r>
    </w:p>
    <w:p>
      <w:pPr>
        <w:pStyle w:val="默认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核心变量</w:t>
      </w:r>
    </w:p>
    <w:p>
      <w:pPr>
        <w:pStyle w:val="默认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数据来源</w:t>
      </w:r>
    </w:p>
    <w:p>
      <w:pPr>
        <w:pStyle w:val="默认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研究方法</w:t>
      </w:r>
    </w:p>
    <w:p>
      <w:pPr>
        <w:pStyle w:val="默认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项目成果形式</w:t>
      </w:r>
    </w:p>
    <w:p>
      <w:pPr>
        <w:pStyle w:val="默认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时间规划</w:t>
      </w:r>
    </w:p>
    <w:p>
      <w:pPr>
        <w:pStyle w:val="默认"/>
        <w:numPr>
          <w:ilvl w:val="0"/>
          <w:numId w:val="5"/>
        </w:numPr>
        <w:suppressAutoHyphens w:val="1"/>
        <w:spacing w:before="0" w:line="240" w:lineRule="auto"/>
        <w:jc w:val="left"/>
        <w:rPr>
          <w:rFonts w:eastAsia="Times Roman" w:hint="eastAsia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可能风险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因为：</w:t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第一周决定整个</w:t>
      </w:r>
      <w:r>
        <w:rPr>
          <w:rFonts w:ascii="Times Roman" w:hAnsi="Times Roman"/>
          <w:rtl w:val="0"/>
          <w:lang w:val="da-DK"/>
        </w:rPr>
        <w:t>PBL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项目最终质量。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结合以上</w:t>
      </w:r>
      <w:r>
        <w:rPr>
          <w:rFonts w:ascii="Times Roman" w:hAnsi="Times Roman"/>
          <w:rtl w:val="0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个课题及指导意见，生成一个</w:t>
      </w:r>
      <w:r>
        <w:rPr>
          <w:rFonts w:ascii="Times Roman" w:hAnsi="Times Roman"/>
          <w:rtl w:val="0"/>
          <w:lang w:val="pt-PT"/>
        </w:rPr>
        <w:t>PPT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，先给出整体四个项目的指导意见，再结合不同项目分别给意见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PBL_Projects_Guidance_Presentation.pptx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  <w:r>
        <w:rPr>
          <w:rFonts w:ascii="Helvetica" w:cs="Helvetica" w:hAnsi="Helvetica" w:eastAsia="Helvetica"/>
          <w:outline w:val="0"/>
          <w:color w:val="000000"/>
          <w:sz w:val="22"/>
          <w:szCs w:val="22"/>
          <w14:textFill>
            <w14:solidFill>
              <w14:srgbClr w14:val="000000">
                <w14:alpha w14:val="15294"/>
              </w14:srgbClr>
            </w14:solidFill>
          </w14:textFill>
        </w:rPr>
        <w:drawing xmlns:a="http://schemas.openxmlformats.org/drawingml/2006/main">
          <wp:inline distT="0" distB="0" distL="0" distR="0">
            <wp:extent cx="6119930" cy="4589947"/>
            <wp:effectExtent l="0" t="0" r="0" b="0"/>
            <wp:docPr id="1073741825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png" descr="unknown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45899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默认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结合以上</w:t>
      </w:r>
      <w:r>
        <w:rPr>
          <w:rFonts w:ascii="Times Roman" w:hAnsi="Times Roman"/>
          <w:rtl w:val="0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个项目的指导意见，生成一个表格，呈现每周对学生的任务管理</w:t>
      </w:r>
    </w:p>
    <w:p>
      <w:pPr>
        <w:pStyle w:val="默认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294"/>
        <w:gridCol w:w="1648"/>
        <w:gridCol w:w="1548"/>
        <w:gridCol w:w="1345"/>
        <w:gridCol w:w="1749"/>
        <w:gridCol w:w="2054"/>
      </w:tblGrid>
      <w:tr>
        <w:tblPrEx>
          <w:shd w:val="clear" w:color="auto" w:fill="auto"/>
        </w:tblPrEx>
        <w:trPr>
          <w:trHeight w:val="687" w:hRule="atLeast"/>
        </w:trPr>
        <w:tc>
          <w:tcPr>
            <w:tcW w:type="dxa" w:w="1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周次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项目一：亚洲城市住房与教育不平等</w:t>
            </w:r>
          </w:p>
        </w:tc>
        <w:tc>
          <w:tcPr>
            <w:tcW w:type="dxa" w:w="15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项目二：教师关注差异研究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项目三：网文平台消费研究</w:t>
            </w:r>
          </w:p>
        </w:tc>
        <w:tc>
          <w:tcPr>
            <w:tcW w:type="dxa" w:w="1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项目四：中美林火防治研究</w:t>
            </w:r>
          </w:p>
        </w:tc>
        <w:tc>
          <w:tcPr>
            <w:tcW w:type="dxa" w:w="2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  <w:jc w:val="center"/>
            </w:pPr>
            <w:r>
              <w:rPr>
                <w:rFonts w:eastAsia="Times Roman" w:hint="eastAsia"/>
                <w:b w:val="1"/>
                <w:bCs w:val="1"/>
                <w:sz w:val="24"/>
                <w:szCs w:val="24"/>
                <w:rtl w:val="0"/>
              </w:rPr>
              <w:t>教师检查重点</w:t>
            </w:r>
          </w:p>
        </w:tc>
      </w:tr>
      <w:tr>
        <w:tblPrEx>
          <w:shd w:val="clear" w:color="auto" w:fill="auto"/>
        </w:tblPrEx>
        <w:trPr>
          <w:trHeight w:val="2047" w:hRule="atLeast"/>
        </w:trPr>
        <w:tc>
          <w:tcPr>
            <w:tcW w:type="dxa" w:w="1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周（研究设计周）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明确比较城市（建议香港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vs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新加坡）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确定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Driving Question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完成核心变量设计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阅读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3-5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篇核心文献</w:t>
            </w:r>
          </w:p>
        </w:tc>
        <w:tc>
          <w:tcPr>
            <w:tcW w:type="dxa" w:w="15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完成研究伦理审批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设计课堂观察表、问卷与访谈提纲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进行工具试测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明确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消费行为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定义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设计问卷与访谈问题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阅读媒介消费与粉丝经济文献</w:t>
            </w:r>
          </w:p>
        </w:tc>
        <w:tc>
          <w:tcPr>
            <w:tcW w:type="dxa" w:w="1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明确研究方向（政策比较或案例比较）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建立政策分析框架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收集核心政策文件</w:t>
            </w:r>
          </w:p>
        </w:tc>
        <w:tc>
          <w:tcPr>
            <w:tcW w:type="dxa" w:w="2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是否完成研究问题聚焦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是否形成可执行研究方案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是否明确数据来源与方法</w:t>
            </w:r>
          </w:p>
        </w:tc>
      </w:tr>
      <w:tr>
        <w:tblPrEx>
          <w:shd w:val="clear" w:color="auto" w:fill="auto"/>
        </w:tblPrEx>
        <w:trPr>
          <w:trHeight w:val="1707" w:hRule="atLeast"/>
        </w:trPr>
        <w:tc>
          <w:tcPr>
            <w:tcW w:type="dxa" w:w="1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周（数据收集周）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收集住房、教育等二手数据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整理统计指标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如有条件开展小规模访谈</w:t>
            </w:r>
          </w:p>
        </w:tc>
        <w:tc>
          <w:tcPr>
            <w:tcW w:type="dxa" w:w="15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开展课堂观察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发放学生问卷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完成教师与学生访谈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大规模发放线上问卷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完成至少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3-5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位深度访谈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整理平台案例</w:t>
            </w:r>
          </w:p>
        </w:tc>
        <w:tc>
          <w:tcPr>
            <w:tcW w:type="dxa" w:w="1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收集政策文本与案例资料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整理中美（或地区）案例</w:t>
            </w:r>
          </w:p>
        </w:tc>
        <w:tc>
          <w:tcPr>
            <w:tcW w:type="dxa" w:w="2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数据是否足够支撑研究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样本数量是否达标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是否按计划推进</w:t>
            </w:r>
          </w:p>
        </w:tc>
      </w:tr>
      <w:tr>
        <w:tblPrEx>
          <w:shd w:val="clear" w:color="auto" w:fill="auto"/>
        </w:tblPrEx>
        <w:trPr>
          <w:trHeight w:val="1367" w:hRule="atLeast"/>
        </w:trPr>
        <w:tc>
          <w:tcPr>
            <w:tcW w:type="dxa" w:w="1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周（数据分析周）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制作城市比较表格与图表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分析政策差异与教育机会关系</w:t>
            </w:r>
          </w:p>
        </w:tc>
        <w:tc>
          <w:tcPr>
            <w:tcW w:type="dxa" w:w="15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编码课堂观察数据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统计问卷结果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归纳访谈主题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统计问卷数据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分析免费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/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付费平台差异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归纳消费心理因素</w:t>
            </w:r>
          </w:p>
        </w:tc>
        <w:tc>
          <w:tcPr>
            <w:tcW w:type="dxa" w:w="1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比较不同防火体系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分析社区参与与治理差异</w:t>
            </w:r>
          </w:p>
        </w:tc>
        <w:tc>
          <w:tcPr>
            <w:tcW w:type="dxa" w:w="2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是否有明确分析逻辑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是否出现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“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只有描述没有分析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”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问题</w:t>
            </w:r>
          </w:p>
        </w:tc>
      </w:tr>
      <w:tr>
        <w:tblPrEx>
          <w:shd w:val="clear" w:color="auto" w:fill="auto"/>
        </w:tblPrEx>
        <w:trPr>
          <w:trHeight w:val="1367" w:hRule="atLeast"/>
        </w:trPr>
        <w:tc>
          <w:tcPr>
            <w:tcW w:type="dxa" w:w="1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周（论文与成果制作周）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撰写研究报告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制作教育机会地图或信息图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形成政策建议</w:t>
            </w:r>
          </w:p>
        </w:tc>
        <w:tc>
          <w:tcPr>
            <w:tcW w:type="dxa" w:w="15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完成研究报告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制作课堂公平建议手册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形成可视化数据图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撰写研究报告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制作《数字阅读消费指南》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完成平台分析图表</w:t>
            </w:r>
          </w:p>
        </w:tc>
        <w:tc>
          <w:tcPr>
            <w:tcW w:type="dxa" w:w="1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撰写研究报告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制作防灾宣传手册或社区韧性方案</w:t>
            </w:r>
          </w:p>
        </w:tc>
        <w:tc>
          <w:tcPr>
            <w:tcW w:type="dxa" w:w="2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成果是否体现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PBL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特点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是否兼顾研究与行动建议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最后冲刺（展示准备）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修改论文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完善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PPT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与展示逻辑</w:t>
            </w:r>
          </w:p>
        </w:tc>
        <w:tc>
          <w:tcPr>
            <w:tcW w:type="dxa" w:w="15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修改论文与展示材料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修改论文与展示材料</w:t>
            </w:r>
          </w:p>
        </w:tc>
        <w:tc>
          <w:tcPr>
            <w:tcW w:type="dxa" w:w="1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修改论文与展示材料</w:t>
            </w:r>
          </w:p>
        </w:tc>
        <w:tc>
          <w:tcPr>
            <w:tcW w:type="dxa" w:w="2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展示是否突出问题意识、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SDG</w:t>
            </w:r>
            <w:r>
              <w:rPr>
                <w:rFonts w:eastAsia="Times Roman" w:hint="eastAsia"/>
                <w:sz w:val="24"/>
                <w:szCs w:val="24"/>
                <w:rtl w:val="0"/>
              </w:rPr>
              <w:t>关联与社会意义</w:t>
            </w:r>
          </w:p>
        </w:tc>
      </w:tr>
      <w:tr>
        <w:tblPrEx>
          <w:shd w:val="clear" w:color="auto" w:fill="auto"/>
        </w:tblPrEx>
        <w:trPr>
          <w:trHeight w:val="1027" w:hRule="atLeast"/>
        </w:trPr>
        <w:tc>
          <w:tcPr>
            <w:tcW w:type="dxa" w:w="12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每周共同任务</w:t>
            </w:r>
          </w:p>
        </w:tc>
        <w:tc>
          <w:tcPr>
            <w:tcW w:type="dxa" w:w="1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记录研究日志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整理参考文献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每周提交阶段性进展</w:t>
            </w:r>
          </w:p>
        </w:tc>
        <w:tc>
          <w:tcPr>
            <w:tcW w:type="dxa" w:w="154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记录研究日志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反思研究伦理与数据质量</w:t>
            </w:r>
          </w:p>
        </w:tc>
        <w:tc>
          <w:tcPr>
            <w:tcW w:type="dxa" w:w="1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记录研究日志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检查问卷有效性</w:t>
            </w:r>
          </w:p>
        </w:tc>
        <w:tc>
          <w:tcPr>
            <w:tcW w:type="dxa" w:w="17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记录研究日志</w:t>
            </w:r>
          </w:p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检查案例与政策可信度</w:t>
            </w:r>
          </w:p>
        </w:tc>
        <w:tc>
          <w:tcPr>
            <w:tcW w:type="dxa" w:w="2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表格样式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老师每周进行一次项目反馈会议</w:t>
            </w:r>
          </w:p>
        </w:tc>
      </w:tr>
    </w:tbl>
    <w:p>
      <w:pPr>
        <w:pStyle w:val="默认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编号"/>
  </w:abstractNum>
  <w:abstractNum w:abstractNumId="1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项目符号"/>
  </w:abstractNum>
  <w:abstractNum w:abstractNumId="3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numbering" w:styleId="编号">
    <w:name w:val="编号"/>
    <w:pPr>
      <w:numPr>
        <w:numId w:val="1"/>
      </w:numPr>
    </w:pPr>
  </w:style>
  <w:style w:type="numbering" w:styleId="项目符号">
    <w:name w:val="项目符号"/>
    <w:pPr>
      <w:numPr>
        <w:numId w:val="3"/>
      </w:numPr>
    </w:pPr>
  </w:style>
  <w:style w:type="paragraph" w:styleId="表格样式 2">
    <w:name w:val="表格样式 2"/>
    <w:next w:val="表格样式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PingFang SC Regular" w:hAnsi="PingFang SC Regular" w:eastAsia="PingFang S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