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10200" w:type="dxa"/>
        <w:jc w:val="center"/>
        <w:tblBorders>
          <w:top w:val="single" w:color="FFFFFF" w:sz="2" w:space="0"/>
          <w:left w:val="single" w:color="FFFFFF" w:sz="2" w:space="0"/>
          <w:bottom w:val="none" w:color="auto" w:sz="0" w:space="0"/>
          <w:right w:val="single" w:color="FFFFFF" w:sz="2" w:space="0"/>
          <w:insideH w:val="single" w:color="FFFFFF" w:sz="2" w:space="0"/>
          <w:insideV w:val="single" w:color="FFFFFF" w:sz="2" w:space="0"/>
        </w:tblBorders>
        <w:tblLayout w:type="fixed"/>
        <w:tblCellMar>
          <w:top w:w="0" w:type="dxa"/>
          <w:left w:w="0" w:type="dxa"/>
          <w:bottom w:w="0" w:type="dxa"/>
          <w:right w:w="0" w:type="dxa"/>
        </w:tblCellMar>
      </w:tblPr>
      <w:tblGrid>
        <w:gridCol w:w="1734"/>
        <w:gridCol w:w="2142"/>
        <w:gridCol w:w="1530"/>
        <w:gridCol w:w="1495"/>
        <w:gridCol w:w="1559"/>
        <w:gridCol w:w="1740"/>
      </w:tblGrid>
      <w:tr>
        <w:tblPrEx>
          <w:tblBorders>
            <w:top w:val="single" w:color="FFFFFF" w:sz="2" w:space="0"/>
            <w:left w:val="single" w:color="FFFFFF" w:sz="2" w:space="0"/>
            <w:bottom w:val="none" w:color="auto" w:sz="0"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421" w:hRule="atLeast"/>
          <w:jc w:val="center"/>
        </w:trPr>
        <w:tc>
          <w:tcPr>
            <w:tcW w:w="1734" w:type="dxa"/>
            <w:vAlign w:val="bottom"/>
          </w:tcPr>
          <w:p>
            <w:pPr>
              <w:wordWrap w:val="0"/>
              <w:spacing w:line="240" w:lineRule="atLeast"/>
              <w:jc w:val="right"/>
              <w:rPr>
                <w:spacing w:val="15"/>
                <w:sz w:val="21"/>
                <w:szCs w:val="21"/>
              </w:rPr>
            </w:pPr>
          </w:p>
        </w:tc>
        <w:tc>
          <w:tcPr>
            <w:tcW w:w="2142" w:type="dxa"/>
            <w:vAlign w:val="bottom"/>
          </w:tcPr>
          <w:p>
            <w:pPr>
              <w:wordWrap w:val="0"/>
              <w:spacing w:before="300" w:line="240" w:lineRule="atLeast"/>
              <w:rPr>
                <w:spacing w:val="15"/>
                <w:sz w:val="21"/>
                <w:szCs w:val="21"/>
              </w:rPr>
            </w:pPr>
            <w:r>
              <w:rPr>
                <w:rStyle w:val="57"/>
                <w:spacing w:val="15"/>
              </w:rPr>
              <w:t> </w:t>
            </w:r>
          </w:p>
        </w:tc>
        <w:tc>
          <w:tcPr>
            <w:tcW w:w="1530" w:type="dxa"/>
            <w:vAlign w:val="bottom"/>
          </w:tcPr>
          <w:p>
            <w:pPr>
              <w:wordWrap w:val="0"/>
              <w:spacing w:line="240" w:lineRule="atLeast"/>
              <w:jc w:val="right"/>
              <w:rPr>
                <w:spacing w:val="15"/>
                <w:sz w:val="21"/>
                <w:szCs w:val="21"/>
              </w:rPr>
            </w:pPr>
          </w:p>
        </w:tc>
        <w:tc>
          <w:tcPr>
            <w:tcW w:w="1495" w:type="dxa"/>
            <w:vAlign w:val="bottom"/>
          </w:tcPr>
          <w:p>
            <w:pPr>
              <w:wordWrap w:val="0"/>
              <w:spacing w:line="240" w:lineRule="atLeast"/>
              <w:rPr>
                <w:spacing w:val="15"/>
                <w:sz w:val="21"/>
                <w:szCs w:val="21"/>
              </w:rPr>
            </w:pPr>
            <w:r>
              <w:rPr>
                <w:rFonts w:hint="eastAsia"/>
                <w:spacing w:val="15"/>
                <w:sz w:val="21"/>
                <w:szCs w:val="21"/>
              </w:rPr>
              <w:t> </w:t>
            </w:r>
          </w:p>
        </w:tc>
        <w:tc>
          <w:tcPr>
            <w:tcW w:w="1559" w:type="dxa"/>
            <w:vAlign w:val="bottom"/>
          </w:tcPr>
          <w:p>
            <w:pPr>
              <w:wordWrap w:val="0"/>
              <w:spacing w:line="240" w:lineRule="atLeast"/>
              <w:jc w:val="right"/>
              <w:rPr>
                <w:spacing w:val="15"/>
                <w:sz w:val="21"/>
                <w:szCs w:val="21"/>
              </w:rPr>
            </w:pPr>
            <w:r>
              <w:rPr>
                <w:rStyle w:val="55"/>
                <w:color w:val="auto"/>
                <w:spacing w:val="15"/>
              </w:rPr>
              <w:t>申报编号：</w:t>
            </w:r>
          </w:p>
        </w:tc>
        <w:tc>
          <w:tcPr>
            <w:tcW w:w="1740" w:type="dxa"/>
            <w:tcBorders>
              <w:bottom w:val="dashSmallGap" w:color="auto" w:sz="4" w:space="0"/>
            </w:tcBorders>
            <w:vAlign w:val="bottom"/>
          </w:tcPr>
          <w:p>
            <w:pPr>
              <w:wordWrap w:val="0"/>
              <w:spacing w:before="300" w:line="240" w:lineRule="atLeast"/>
              <w:rPr>
                <w:spacing w:val="15"/>
                <w:sz w:val="21"/>
                <w:szCs w:val="21"/>
              </w:rPr>
            </w:pPr>
          </w:p>
        </w:tc>
      </w:tr>
    </w:tbl>
    <w:p>
      <w:pPr>
        <w:pStyle w:val="27"/>
        <w:jc w:val="center"/>
      </w:pPr>
      <w:r>
        <w:rPr>
          <w:rFonts w:hint="eastAsia"/>
        </w:rPr>
        <w:t xml:space="preserve"> </w:t>
      </w:r>
    </w:p>
    <w:p>
      <w:pPr>
        <w:pStyle w:val="27"/>
        <w:jc w:val="center"/>
        <w:rPr>
          <w:sz w:val="54"/>
          <w:szCs w:val="54"/>
        </w:rPr>
      </w:pPr>
      <w:r>
        <w:rPr>
          <w:rStyle w:val="59"/>
          <w:rFonts w:hint="eastAsia" w:ascii="宋体" w:hAnsi="宋体"/>
          <w:sz w:val="54"/>
          <w:szCs w:val="54"/>
        </w:rPr>
        <w:t>四川省重点研发</w:t>
      </w:r>
    </w:p>
    <w:p>
      <w:pPr>
        <w:pStyle w:val="27"/>
        <w:jc w:val="center"/>
      </w:pPr>
      <w:r>
        <w:rPr>
          <w:rStyle w:val="59"/>
          <w:rFonts w:hint="eastAsia" w:ascii="宋体" w:hAnsi="宋体"/>
          <w:sz w:val="54"/>
          <w:szCs w:val="54"/>
        </w:rPr>
        <w:t xml:space="preserve">项目申报书 </w:t>
      </w:r>
    </w:p>
    <w:p>
      <w:pPr>
        <w:pStyle w:val="27"/>
        <w:jc w:val="center"/>
      </w:pPr>
      <w:r>
        <w:rPr>
          <w:rFonts w:hint="eastAsia"/>
        </w:rPr>
        <w:t xml:space="preserve"> </w:t>
      </w:r>
    </w:p>
    <w:tbl>
      <w:tblPr>
        <w:tblStyle w:val="16"/>
        <w:tblW w:w="10200" w:type="dxa"/>
        <w:jc w:val="center"/>
        <w:tblLayout w:type="fixed"/>
        <w:tblCellMar>
          <w:top w:w="0" w:type="dxa"/>
          <w:left w:w="0" w:type="dxa"/>
          <w:bottom w:w="0" w:type="dxa"/>
          <w:right w:w="0" w:type="dxa"/>
        </w:tblCellMar>
      </w:tblPr>
      <w:tblGrid>
        <w:gridCol w:w="612"/>
        <w:gridCol w:w="2958"/>
        <w:gridCol w:w="5100"/>
        <w:gridCol w:w="1530"/>
      </w:tblGrid>
      <w:tr>
        <w:tblPrEx>
          <w:tblCellMar>
            <w:top w:w="0" w:type="dxa"/>
            <w:left w:w="0" w:type="dxa"/>
            <w:bottom w:w="0" w:type="dxa"/>
            <w:right w:w="0" w:type="dxa"/>
          </w:tblCellMar>
        </w:tblPrEx>
        <w:trPr>
          <w:trHeight w:val="975" w:hRule="atLeast"/>
          <w:jc w:val="center"/>
        </w:trPr>
        <w:tc>
          <w:tcPr>
            <w:tcW w:w="612" w:type="dxa"/>
            <w:vMerge w:val="restart"/>
            <w:tcBorders>
              <w:top w:val="single" w:color="FFFFFF" w:sz="2" w:space="0"/>
              <w:left w:val="single" w:color="FFFFFF" w:sz="2" w:space="0"/>
              <w:bottom w:val="single" w:color="FFFFFF" w:sz="2" w:space="0"/>
              <w:right w:val="single" w:color="FFFFFF" w:sz="2" w:space="0"/>
            </w:tcBorders>
            <w:vAlign w:val="center"/>
          </w:tcPr>
          <w:p>
            <w:pPr>
              <w:rPr>
                <w:rFonts w:ascii="Times New Roman" w:hAnsi="Times New Roman" w:cs="Times New Roman"/>
                <w:sz w:val="20"/>
                <w:szCs w:val="20"/>
              </w:rPr>
            </w:pPr>
          </w:p>
        </w:tc>
        <w:tc>
          <w:tcPr>
            <w:tcW w:w="2958" w:type="dxa"/>
            <w:tcBorders>
              <w:top w:val="single" w:color="FFFFFF" w:sz="2" w:space="0"/>
              <w:left w:val="nil"/>
              <w:bottom w:val="single" w:color="FFFFFF" w:sz="2" w:space="0"/>
              <w:right w:val="single" w:color="FFFFFF" w:sz="2" w:space="0"/>
            </w:tcBorders>
            <w:vAlign w:val="bottom"/>
          </w:tcPr>
          <w:p>
            <w:pPr>
              <w:wordWrap w:val="0"/>
              <w:jc w:val="right"/>
              <w:rPr>
                <w:spacing w:val="15"/>
                <w:sz w:val="21"/>
                <w:szCs w:val="21"/>
              </w:rPr>
            </w:pPr>
            <w:r>
              <w:rPr>
                <w:rStyle w:val="55"/>
                <w:color w:val="auto"/>
                <w:spacing w:val="15"/>
              </w:rPr>
              <w:t>项目名称：</w:t>
            </w:r>
          </w:p>
        </w:tc>
        <w:tc>
          <w:tcPr>
            <w:tcW w:w="5100" w:type="dxa"/>
            <w:tcBorders>
              <w:top w:val="single" w:color="FFFFFF" w:sz="2" w:space="0"/>
              <w:left w:val="nil"/>
              <w:bottom w:val="single" w:color="000000" w:sz="6" w:space="0"/>
              <w:right w:val="single" w:color="FFFFFF" w:sz="2" w:space="0"/>
            </w:tcBorders>
            <w:vAlign w:val="bottom"/>
          </w:tcPr>
          <w:p>
            <w:pPr>
              <w:pStyle w:val="63"/>
              <w:rPr>
                <w:rFonts w:ascii="宋体" w:hAnsi="宋体"/>
                <w:color w:val="000000"/>
              </w:rPr>
            </w:pPr>
            <w:r>
              <w:rPr>
                <w:rFonts w:hint="eastAsia" w:ascii="宋体" w:hAnsi="宋体"/>
                <w:sz w:val="24"/>
                <w:szCs w:val="28"/>
              </w:rPr>
              <w:t>变电站震害损毁智能检测与评估关键技术研究</w:t>
            </w:r>
          </w:p>
        </w:tc>
        <w:tc>
          <w:tcPr>
            <w:tcW w:w="1530" w:type="dxa"/>
            <w:vMerge w:val="restart"/>
            <w:tcBorders>
              <w:top w:val="single" w:color="FFFFFF" w:sz="2" w:space="0"/>
              <w:left w:val="nil"/>
              <w:bottom w:val="single" w:color="FFFFFF" w:sz="2" w:space="0"/>
              <w:right w:val="single" w:color="FFFFFF" w:sz="2"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trHeight w:val="795" w:hRule="atLeast"/>
          <w:jc w:val="center"/>
        </w:trPr>
        <w:tc>
          <w:tcPr>
            <w:tcW w:w="612" w:type="dxa"/>
            <w:vMerge w:val="continue"/>
            <w:tcBorders>
              <w:top w:val="single" w:color="FFFFFF" w:sz="2" w:space="0"/>
              <w:left w:val="single" w:color="FFFFFF" w:sz="2" w:space="0"/>
              <w:bottom w:val="single" w:color="FFFFFF" w:sz="2" w:space="0"/>
              <w:right w:val="single" w:color="FFFFFF" w:sz="2" w:space="0"/>
            </w:tcBorders>
            <w:vAlign w:val="center"/>
          </w:tcPr>
          <w:p>
            <w:pPr>
              <w:rPr>
                <w:rFonts w:ascii="Times New Roman" w:hAnsi="Times New Roman" w:cs="Times New Roman"/>
                <w:sz w:val="20"/>
                <w:szCs w:val="20"/>
              </w:rPr>
            </w:pPr>
          </w:p>
        </w:tc>
        <w:tc>
          <w:tcPr>
            <w:tcW w:w="2958" w:type="dxa"/>
            <w:tcBorders>
              <w:top w:val="single" w:color="FFFFFF" w:sz="2" w:space="0"/>
              <w:left w:val="nil"/>
              <w:bottom w:val="single" w:color="FFFFFF" w:sz="2" w:space="0"/>
              <w:right w:val="single" w:color="FFFFFF" w:sz="2" w:space="0"/>
            </w:tcBorders>
            <w:vAlign w:val="bottom"/>
          </w:tcPr>
          <w:p>
            <w:pPr>
              <w:wordWrap w:val="0"/>
              <w:jc w:val="right"/>
              <w:rPr>
                <w:spacing w:val="15"/>
                <w:sz w:val="21"/>
                <w:szCs w:val="21"/>
              </w:rPr>
            </w:pPr>
            <w:r>
              <w:rPr>
                <w:rStyle w:val="55"/>
                <w:color w:val="auto"/>
                <w:spacing w:val="15"/>
              </w:rPr>
              <w:t>研究领域：</w:t>
            </w:r>
          </w:p>
        </w:tc>
        <w:tc>
          <w:tcPr>
            <w:tcW w:w="5100" w:type="dxa"/>
            <w:tcBorders>
              <w:top w:val="single" w:color="FFFFFF" w:sz="2" w:space="0"/>
              <w:left w:val="nil"/>
              <w:bottom w:val="single" w:color="000000" w:sz="6" w:space="0"/>
              <w:right w:val="single" w:color="FFFFFF" w:sz="2" w:space="0"/>
            </w:tcBorders>
            <w:vAlign w:val="bottom"/>
          </w:tcPr>
          <w:p>
            <w:pPr>
              <w:rPr>
                <w:rFonts w:cs="Times New Roman"/>
                <w:color w:val="000000"/>
                <w:sz w:val="20"/>
                <w:szCs w:val="20"/>
              </w:rPr>
            </w:pPr>
            <w:r>
              <w:rPr>
                <w:rFonts w:hint="eastAsia" w:cs="Times New Roman"/>
                <w:color w:val="000000"/>
                <w:szCs w:val="20"/>
              </w:rPr>
              <w:t>1.智能检测与分析控制关键技术</w:t>
            </w:r>
          </w:p>
        </w:tc>
        <w:tc>
          <w:tcPr>
            <w:tcW w:w="1530" w:type="dxa"/>
            <w:vMerge w:val="continue"/>
            <w:tcBorders>
              <w:top w:val="single" w:color="FFFFFF" w:sz="2" w:space="0"/>
              <w:left w:val="nil"/>
              <w:bottom w:val="single" w:color="FFFFFF" w:sz="2" w:space="0"/>
              <w:right w:val="single" w:color="FFFFFF" w:sz="2"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trHeight w:val="795" w:hRule="atLeast"/>
          <w:jc w:val="center"/>
        </w:trPr>
        <w:tc>
          <w:tcPr>
            <w:tcW w:w="612" w:type="dxa"/>
            <w:vMerge w:val="continue"/>
            <w:tcBorders>
              <w:top w:val="single" w:color="FFFFFF" w:sz="2" w:space="0"/>
              <w:left w:val="single" w:color="FFFFFF" w:sz="2" w:space="0"/>
              <w:bottom w:val="single" w:color="FFFFFF" w:sz="2" w:space="0"/>
              <w:right w:val="single" w:color="FFFFFF" w:sz="2" w:space="0"/>
            </w:tcBorders>
            <w:vAlign w:val="center"/>
          </w:tcPr>
          <w:p>
            <w:pPr>
              <w:rPr>
                <w:rFonts w:ascii="Times New Roman" w:hAnsi="Times New Roman" w:cs="Times New Roman"/>
                <w:sz w:val="20"/>
                <w:szCs w:val="20"/>
              </w:rPr>
            </w:pPr>
          </w:p>
        </w:tc>
        <w:tc>
          <w:tcPr>
            <w:tcW w:w="2958" w:type="dxa"/>
            <w:tcBorders>
              <w:top w:val="single" w:color="FFFFFF" w:sz="2" w:space="0"/>
              <w:left w:val="nil"/>
              <w:bottom w:val="single" w:color="FFFFFF" w:sz="2" w:space="0"/>
              <w:right w:val="single" w:color="FFFFFF" w:sz="2" w:space="0"/>
            </w:tcBorders>
            <w:vAlign w:val="bottom"/>
          </w:tcPr>
          <w:p>
            <w:pPr>
              <w:wordWrap w:val="0"/>
              <w:jc w:val="right"/>
              <w:rPr>
                <w:spacing w:val="15"/>
                <w:sz w:val="21"/>
                <w:szCs w:val="21"/>
              </w:rPr>
            </w:pPr>
            <w:r>
              <w:rPr>
                <w:rStyle w:val="55"/>
                <w:color w:val="auto"/>
                <w:spacing w:val="15"/>
              </w:rPr>
              <w:t>申报单位：</w:t>
            </w:r>
          </w:p>
        </w:tc>
        <w:tc>
          <w:tcPr>
            <w:tcW w:w="5100" w:type="dxa"/>
            <w:tcBorders>
              <w:top w:val="single" w:color="FFFFFF" w:sz="2" w:space="0"/>
              <w:left w:val="nil"/>
              <w:bottom w:val="single" w:color="000000" w:sz="6" w:space="0"/>
              <w:right w:val="single" w:color="FFFFFF" w:sz="2" w:space="0"/>
            </w:tcBorders>
            <w:vAlign w:val="bottom"/>
          </w:tcPr>
          <w:p>
            <w:pPr>
              <w:rPr>
                <w:rFonts w:ascii="Times New Roman" w:hAnsi="Times New Roman" w:cs="Times New Roman"/>
                <w:sz w:val="20"/>
                <w:szCs w:val="20"/>
              </w:rPr>
            </w:pPr>
            <w:r>
              <w:rPr>
                <w:rFonts w:hint="eastAsia" w:cs="Times New Roman"/>
                <w:color w:val="000000"/>
              </w:rPr>
              <w:t>电子科技大学</w:t>
            </w:r>
          </w:p>
        </w:tc>
        <w:tc>
          <w:tcPr>
            <w:tcW w:w="1530" w:type="dxa"/>
            <w:vMerge w:val="continue"/>
            <w:tcBorders>
              <w:top w:val="single" w:color="FFFFFF" w:sz="2" w:space="0"/>
              <w:left w:val="nil"/>
              <w:bottom w:val="single" w:color="FFFFFF" w:sz="2" w:space="0"/>
              <w:right w:val="single" w:color="FFFFFF" w:sz="2"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trHeight w:val="795" w:hRule="atLeast"/>
          <w:jc w:val="center"/>
        </w:trPr>
        <w:tc>
          <w:tcPr>
            <w:tcW w:w="612" w:type="dxa"/>
            <w:vMerge w:val="continue"/>
            <w:tcBorders>
              <w:top w:val="single" w:color="FFFFFF" w:sz="2" w:space="0"/>
              <w:left w:val="single" w:color="FFFFFF" w:sz="2" w:space="0"/>
              <w:bottom w:val="single" w:color="FFFFFF" w:sz="2" w:space="0"/>
              <w:right w:val="single" w:color="FFFFFF" w:sz="2" w:space="0"/>
            </w:tcBorders>
            <w:vAlign w:val="center"/>
          </w:tcPr>
          <w:p>
            <w:pPr>
              <w:rPr>
                <w:rFonts w:ascii="Times New Roman" w:hAnsi="Times New Roman" w:cs="Times New Roman"/>
                <w:sz w:val="20"/>
                <w:szCs w:val="20"/>
              </w:rPr>
            </w:pPr>
          </w:p>
        </w:tc>
        <w:tc>
          <w:tcPr>
            <w:tcW w:w="2958" w:type="dxa"/>
            <w:tcBorders>
              <w:top w:val="single" w:color="FFFFFF" w:sz="2" w:space="0"/>
              <w:left w:val="nil"/>
              <w:bottom w:val="single" w:color="FFFFFF" w:sz="2" w:space="0"/>
              <w:right w:val="single" w:color="FFFFFF" w:sz="2" w:space="0"/>
            </w:tcBorders>
            <w:vAlign w:val="bottom"/>
          </w:tcPr>
          <w:p>
            <w:pPr>
              <w:wordWrap w:val="0"/>
              <w:jc w:val="right"/>
              <w:rPr>
                <w:spacing w:val="15"/>
                <w:sz w:val="21"/>
                <w:szCs w:val="21"/>
              </w:rPr>
            </w:pPr>
            <w:r>
              <w:rPr>
                <w:rStyle w:val="55"/>
                <w:color w:val="auto"/>
                <w:spacing w:val="15"/>
              </w:rPr>
              <w:t>项目负责人：</w:t>
            </w:r>
          </w:p>
        </w:tc>
        <w:tc>
          <w:tcPr>
            <w:tcW w:w="5100" w:type="dxa"/>
            <w:tcBorders>
              <w:top w:val="single" w:color="FFFFFF" w:sz="2" w:space="0"/>
              <w:left w:val="nil"/>
              <w:bottom w:val="single" w:color="000000" w:sz="6" w:space="0"/>
              <w:right w:val="single" w:color="FFFFFF" w:sz="2" w:space="0"/>
            </w:tcBorders>
            <w:vAlign w:val="bottom"/>
          </w:tcPr>
          <w:p>
            <w:pPr>
              <w:rPr>
                <w:rFonts w:cs="Times New Roman"/>
                <w:color w:val="000000"/>
                <w:sz w:val="20"/>
                <w:szCs w:val="20"/>
              </w:rPr>
            </w:pPr>
            <w:r>
              <w:rPr>
                <w:rFonts w:hint="eastAsia" w:cs="Times New Roman"/>
                <w:color w:val="000000"/>
              </w:rPr>
              <w:t>左琳</w:t>
            </w:r>
          </w:p>
        </w:tc>
        <w:tc>
          <w:tcPr>
            <w:tcW w:w="1530" w:type="dxa"/>
            <w:vMerge w:val="continue"/>
            <w:tcBorders>
              <w:top w:val="single" w:color="FFFFFF" w:sz="2" w:space="0"/>
              <w:left w:val="nil"/>
              <w:bottom w:val="single" w:color="FFFFFF" w:sz="2" w:space="0"/>
              <w:right w:val="single" w:color="FFFFFF" w:sz="2"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trHeight w:val="975" w:hRule="atLeast"/>
          <w:jc w:val="center"/>
        </w:trPr>
        <w:tc>
          <w:tcPr>
            <w:tcW w:w="612" w:type="dxa"/>
            <w:vMerge w:val="continue"/>
            <w:tcBorders>
              <w:top w:val="single" w:color="FFFFFF" w:sz="2" w:space="0"/>
              <w:left w:val="single" w:color="FFFFFF" w:sz="2" w:space="0"/>
              <w:bottom w:val="single" w:color="FFFFFF" w:sz="2" w:space="0"/>
              <w:right w:val="single" w:color="FFFFFF" w:sz="2" w:space="0"/>
            </w:tcBorders>
            <w:vAlign w:val="center"/>
          </w:tcPr>
          <w:p>
            <w:pPr>
              <w:rPr>
                <w:rFonts w:ascii="Times New Roman" w:hAnsi="Times New Roman" w:cs="Times New Roman"/>
                <w:sz w:val="20"/>
                <w:szCs w:val="20"/>
              </w:rPr>
            </w:pPr>
          </w:p>
        </w:tc>
        <w:tc>
          <w:tcPr>
            <w:tcW w:w="2958" w:type="dxa"/>
            <w:tcBorders>
              <w:top w:val="single" w:color="FFFFFF" w:sz="2" w:space="0"/>
              <w:left w:val="nil"/>
              <w:bottom w:val="single" w:color="FFFFFF" w:sz="2" w:space="0"/>
              <w:right w:val="single" w:color="FFFFFF" w:sz="2" w:space="0"/>
            </w:tcBorders>
            <w:vAlign w:val="bottom"/>
          </w:tcPr>
          <w:p>
            <w:pPr>
              <w:wordWrap w:val="0"/>
              <w:jc w:val="right"/>
              <w:rPr>
                <w:spacing w:val="15"/>
                <w:sz w:val="21"/>
                <w:szCs w:val="21"/>
              </w:rPr>
            </w:pPr>
            <w:r>
              <w:rPr>
                <w:rStyle w:val="55"/>
                <w:color w:val="auto"/>
                <w:spacing w:val="15"/>
              </w:rPr>
              <w:t>联系电话：</w:t>
            </w:r>
          </w:p>
        </w:tc>
        <w:tc>
          <w:tcPr>
            <w:tcW w:w="5100" w:type="dxa"/>
            <w:tcBorders>
              <w:top w:val="single" w:color="FFFFFF" w:sz="2" w:space="0"/>
              <w:left w:val="nil"/>
              <w:bottom w:val="single" w:color="000000" w:sz="6" w:space="0"/>
              <w:right w:val="single" w:color="FFFFFF" w:sz="2" w:space="0"/>
            </w:tcBorders>
            <w:vAlign w:val="bottom"/>
          </w:tcPr>
          <w:p>
            <w:pPr>
              <w:rPr>
                <w:rFonts w:ascii="Times New Roman" w:hAnsi="Times New Roman" w:cs="Times New Roman"/>
                <w:sz w:val="20"/>
                <w:szCs w:val="20"/>
              </w:rPr>
            </w:pPr>
          </w:p>
        </w:tc>
        <w:tc>
          <w:tcPr>
            <w:tcW w:w="1530" w:type="dxa"/>
            <w:vMerge w:val="continue"/>
            <w:tcBorders>
              <w:top w:val="single" w:color="FFFFFF" w:sz="2" w:space="0"/>
              <w:left w:val="nil"/>
              <w:bottom w:val="single" w:color="FFFFFF" w:sz="2" w:space="0"/>
              <w:right w:val="single" w:color="FFFFFF" w:sz="2"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trHeight w:val="795" w:hRule="atLeast"/>
          <w:jc w:val="center"/>
        </w:trPr>
        <w:tc>
          <w:tcPr>
            <w:tcW w:w="612" w:type="dxa"/>
            <w:vMerge w:val="continue"/>
            <w:tcBorders>
              <w:top w:val="single" w:color="FFFFFF" w:sz="2" w:space="0"/>
              <w:left w:val="single" w:color="FFFFFF" w:sz="2" w:space="0"/>
              <w:bottom w:val="single" w:color="FFFFFF" w:sz="2" w:space="0"/>
              <w:right w:val="single" w:color="FFFFFF" w:sz="2" w:space="0"/>
            </w:tcBorders>
            <w:vAlign w:val="center"/>
          </w:tcPr>
          <w:p>
            <w:pPr>
              <w:rPr>
                <w:rFonts w:ascii="Times New Roman" w:hAnsi="Times New Roman" w:cs="Times New Roman"/>
                <w:sz w:val="20"/>
                <w:szCs w:val="20"/>
              </w:rPr>
            </w:pPr>
          </w:p>
        </w:tc>
        <w:tc>
          <w:tcPr>
            <w:tcW w:w="2958" w:type="dxa"/>
            <w:tcBorders>
              <w:top w:val="single" w:color="FFFFFF" w:sz="2" w:space="0"/>
              <w:left w:val="nil"/>
              <w:bottom w:val="single" w:color="FFFFFF" w:sz="2" w:space="0"/>
              <w:right w:val="single" w:color="FFFFFF" w:sz="2" w:space="0"/>
            </w:tcBorders>
            <w:vAlign w:val="bottom"/>
          </w:tcPr>
          <w:p>
            <w:pPr>
              <w:wordWrap w:val="0"/>
              <w:jc w:val="right"/>
              <w:rPr>
                <w:spacing w:val="15"/>
                <w:sz w:val="21"/>
                <w:szCs w:val="21"/>
              </w:rPr>
            </w:pPr>
            <w:r>
              <w:rPr>
                <w:rStyle w:val="55"/>
                <w:rFonts w:hint="eastAsia"/>
                <w:color w:val="auto"/>
                <w:spacing w:val="15"/>
              </w:rPr>
              <w:t>推荐单位</w:t>
            </w:r>
            <w:r>
              <w:rPr>
                <w:rStyle w:val="55"/>
                <w:color w:val="auto"/>
                <w:spacing w:val="15"/>
              </w:rPr>
              <w:t>：</w:t>
            </w:r>
          </w:p>
        </w:tc>
        <w:tc>
          <w:tcPr>
            <w:tcW w:w="5100" w:type="dxa"/>
            <w:tcBorders>
              <w:top w:val="single" w:color="FFFFFF" w:sz="2" w:space="0"/>
              <w:left w:val="nil"/>
              <w:bottom w:val="single" w:color="000000" w:sz="6" w:space="0"/>
              <w:right w:val="single" w:color="FFFFFF" w:sz="2" w:space="0"/>
            </w:tcBorders>
            <w:vAlign w:val="bottom"/>
          </w:tcPr>
          <w:p>
            <w:pPr>
              <w:rPr>
                <w:rFonts w:ascii="Times New Roman" w:hAnsi="Times New Roman" w:cs="Times New Roman"/>
                <w:sz w:val="20"/>
                <w:szCs w:val="20"/>
              </w:rPr>
            </w:pPr>
            <w:r>
              <w:rPr>
                <w:rFonts w:hint="eastAsia" w:ascii="Times New Roman" w:hAnsi="Times New Roman" w:cs="Times New Roman"/>
              </w:rPr>
              <w:t>电子科技大学</w:t>
            </w:r>
          </w:p>
        </w:tc>
        <w:tc>
          <w:tcPr>
            <w:tcW w:w="1530" w:type="dxa"/>
            <w:vMerge w:val="continue"/>
            <w:tcBorders>
              <w:top w:val="single" w:color="FFFFFF" w:sz="2" w:space="0"/>
              <w:left w:val="nil"/>
              <w:bottom w:val="single" w:color="FFFFFF" w:sz="2" w:space="0"/>
              <w:right w:val="single" w:color="FFFFFF" w:sz="2"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trHeight w:val="795" w:hRule="atLeast"/>
          <w:jc w:val="center"/>
        </w:trPr>
        <w:tc>
          <w:tcPr>
            <w:tcW w:w="612" w:type="dxa"/>
            <w:vMerge w:val="continue"/>
            <w:tcBorders>
              <w:top w:val="single" w:color="FFFFFF" w:sz="2" w:space="0"/>
              <w:left w:val="single" w:color="FFFFFF" w:sz="2" w:space="0"/>
              <w:bottom w:val="single" w:color="FFFFFF" w:sz="2" w:space="0"/>
              <w:right w:val="single" w:color="FFFFFF" w:sz="2" w:space="0"/>
            </w:tcBorders>
            <w:vAlign w:val="center"/>
          </w:tcPr>
          <w:p>
            <w:pPr>
              <w:rPr>
                <w:rFonts w:ascii="Times New Roman" w:hAnsi="Times New Roman" w:cs="Times New Roman"/>
                <w:sz w:val="20"/>
                <w:szCs w:val="20"/>
              </w:rPr>
            </w:pPr>
          </w:p>
        </w:tc>
        <w:tc>
          <w:tcPr>
            <w:tcW w:w="2958" w:type="dxa"/>
            <w:tcBorders>
              <w:top w:val="single" w:color="FFFFFF" w:sz="2" w:space="0"/>
              <w:left w:val="nil"/>
              <w:bottom w:val="single" w:color="FFFFFF" w:sz="2" w:space="0"/>
              <w:right w:val="single" w:color="FFFFFF" w:sz="2" w:space="0"/>
            </w:tcBorders>
            <w:vAlign w:val="bottom"/>
          </w:tcPr>
          <w:p>
            <w:pPr>
              <w:wordWrap w:val="0"/>
              <w:jc w:val="right"/>
              <w:rPr>
                <w:spacing w:val="15"/>
                <w:sz w:val="21"/>
                <w:szCs w:val="21"/>
              </w:rPr>
            </w:pPr>
            <w:r>
              <w:rPr>
                <w:rStyle w:val="55"/>
                <w:color w:val="auto"/>
                <w:spacing w:val="15"/>
              </w:rPr>
              <w:t>项目起止</w:t>
            </w:r>
            <w:r>
              <w:rPr>
                <w:rStyle w:val="55"/>
                <w:rFonts w:hint="eastAsia"/>
                <w:color w:val="auto"/>
                <w:spacing w:val="15"/>
              </w:rPr>
              <w:t>时间</w:t>
            </w:r>
            <w:r>
              <w:rPr>
                <w:rStyle w:val="55"/>
                <w:color w:val="auto"/>
                <w:spacing w:val="15"/>
              </w:rPr>
              <w:t>：</w:t>
            </w:r>
          </w:p>
        </w:tc>
        <w:tc>
          <w:tcPr>
            <w:tcW w:w="5100" w:type="dxa"/>
            <w:tcBorders>
              <w:top w:val="single" w:color="FFFFFF" w:sz="2" w:space="0"/>
              <w:left w:val="nil"/>
              <w:bottom w:val="single" w:color="000000" w:sz="6" w:space="0"/>
              <w:right w:val="single" w:color="FFFFFF" w:sz="2" w:space="0"/>
            </w:tcBorders>
            <w:vAlign w:val="bottom"/>
          </w:tcPr>
          <w:p>
            <w:pPr>
              <w:rPr>
                <w:rFonts w:cs="Times New Roman"/>
                <w:color w:val="000000"/>
              </w:rPr>
            </w:pPr>
            <w:r>
              <w:rPr>
                <w:rFonts w:hint="eastAsia" w:cs="Times New Roman"/>
                <w:color w:val="000000"/>
              </w:rPr>
              <w:t>2</w:t>
            </w:r>
            <w:r>
              <w:rPr>
                <w:rFonts w:cs="Times New Roman"/>
                <w:color w:val="000000"/>
              </w:rPr>
              <w:t>022</w:t>
            </w:r>
            <w:r>
              <w:rPr>
                <w:rFonts w:hint="eastAsia" w:cs="Times New Roman"/>
                <w:color w:val="000000"/>
              </w:rPr>
              <w:t>-0</w:t>
            </w:r>
            <w:r>
              <w:rPr>
                <w:rFonts w:cs="Times New Roman"/>
                <w:color w:val="000000"/>
              </w:rPr>
              <w:t>1</w:t>
            </w:r>
            <w:r>
              <w:rPr>
                <w:rFonts w:hint="eastAsia" w:cs="Times New Roman"/>
                <w:color w:val="000000"/>
              </w:rPr>
              <w:t>-0</w:t>
            </w:r>
            <w:r>
              <w:rPr>
                <w:rFonts w:cs="Times New Roman"/>
                <w:color w:val="000000"/>
              </w:rPr>
              <w:t>1</w:t>
            </w:r>
            <w:r>
              <w:rPr>
                <w:rFonts w:hint="eastAsia" w:cs="Times New Roman"/>
                <w:color w:val="000000"/>
              </w:rPr>
              <w:t>至2</w:t>
            </w:r>
            <w:r>
              <w:rPr>
                <w:rFonts w:cs="Times New Roman"/>
                <w:color w:val="000000"/>
              </w:rPr>
              <w:t>023</w:t>
            </w:r>
            <w:r>
              <w:rPr>
                <w:rFonts w:hint="eastAsia" w:cs="Times New Roman"/>
                <w:color w:val="000000"/>
              </w:rPr>
              <w:t>-</w:t>
            </w:r>
            <w:r>
              <w:rPr>
                <w:rFonts w:cs="Times New Roman"/>
                <w:color w:val="000000"/>
              </w:rPr>
              <w:t>12</w:t>
            </w:r>
            <w:r>
              <w:rPr>
                <w:rFonts w:hint="eastAsia" w:cs="Times New Roman"/>
                <w:color w:val="000000"/>
              </w:rPr>
              <w:t>-</w:t>
            </w:r>
            <w:r>
              <w:rPr>
                <w:rFonts w:cs="Times New Roman"/>
                <w:color w:val="000000"/>
              </w:rPr>
              <w:t>31</w:t>
            </w:r>
          </w:p>
        </w:tc>
        <w:tc>
          <w:tcPr>
            <w:tcW w:w="1530" w:type="dxa"/>
            <w:vMerge w:val="continue"/>
            <w:tcBorders>
              <w:top w:val="single" w:color="FFFFFF" w:sz="2" w:space="0"/>
              <w:left w:val="nil"/>
              <w:bottom w:val="single" w:color="FFFFFF" w:sz="2" w:space="0"/>
              <w:right w:val="single" w:color="FFFFFF" w:sz="2"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trHeight w:val="795" w:hRule="atLeast"/>
          <w:jc w:val="center"/>
        </w:trPr>
        <w:tc>
          <w:tcPr>
            <w:tcW w:w="612" w:type="dxa"/>
            <w:vMerge w:val="continue"/>
            <w:tcBorders>
              <w:top w:val="single" w:color="FFFFFF" w:sz="2" w:space="0"/>
              <w:left w:val="single" w:color="FFFFFF" w:sz="2" w:space="0"/>
              <w:bottom w:val="single" w:color="FFFFFF" w:sz="2" w:space="0"/>
              <w:right w:val="single" w:color="FFFFFF" w:sz="2" w:space="0"/>
            </w:tcBorders>
            <w:vAlign w:val="center"/>
          </w:tcPr>
          <w:p>
            <w:pPr>
              <w:rPr>
                <w:rFonts w:ascii="Times New Roman" w:hAnsi="Times New Roman" w:cs="Times New Roman"/>
                <w:sz w:val="20"/>
                <w:szCs w:val="20"/>
              </w:rPr>
            </w:pPr>
          </w:p>
        </w:tc>
        <w:tc>
          <w:tcPr>
            <w:tcW w:w="2958" w:type="dxa"/>
            <w:tcBorders>
              <w:top w:val="single" w:color="FFFFFF" w:sz="2" w:space="0"/>
              <w:left w:val="nil"/>
              <w:bottom w:val="single" w:color="FFFFFF" w:sz="2" w:space="0"/>
              <w:right w:val="single" w:color="FFFFFF" w:sz="2" w:space="0"/>
            </w:tcBorders>
            <w:vAlign w:val="bottom"/>
          </w:tcPr>
          <w:p>
            <w:pPr>
              <w:wordWrap w:val="0"/>
              <w:jc w:val="right"/>
              <w:rPr>
                <w:spacing w:val="15"/>
                <w:sz w:val="21"/>
                <w:szCs w:val="21"/>
                <w:u w:val="single"/>
              </w:rPr>
            </w:pPr>
          </w:p>
        </w:tc>
        <w:tc>
          <w:tcPr>
            <w:tcW w:w="5100" w:type="dxa"/>
            <w:tcBorders>
              <w:top w:val="single" w:color="FFFFFF" w:sz="2" w:space="0"/>
              <w:left w:val="nil"/>
              <w:bottom w:val="single" w:color="000000" w:sz="6" w:space="0"/>
              <w:right w:val="single" w:color="FFFFFF" w:sz="2" w:space="0"/>
            </w:tcBorders>
            <w:vAlign w:val="bottom"/>
          </w:tcPr>
          <w:p>
            <w:pPr>
              <w:rPr>
                <w:rFonts w:ascii="Times New Roman" w:hAnsi="Times New Roman" w:cs="Times New Roman"/>
                <w:sz w:val="20"/>
                <w:szCs w:val="20"/>
                <w:u w:val="single"/>
              </w:rPr>
            </w:pPr>
          </w:p>
        </w:tc>
        <w:tc>
          <w:tcPr>
            <w:tcW w:w="1530" w:type="dxa"/>
            <w:vMerge w:val="continue"/>
            <w:tcBorders>
              <w:top w:val="single" w:color="FFFFFF" w:sz="2" w:space="0"/>
              <w:left w:val="nil"/>
              <w:bottom w:val="single" w:color="FFFFFF" w:sz="2" w:space="0"/>
              <w:right w:val="single" w:color="FFFFFF" w:sz="2" w:space="0"/>
            </w:tcBorders>
            <w:vAlign w:val="center"/>
          </w:tcPr>
          <w:p>
            <w:pPr>
              <w:rPr>
                <w:rFonts w:ascii="Times New Roman" w:hAnsi="Times New Roman" w:cs="Times New Roman"/>
                <w:sz w:val="20"/>
                <w:szCs w:val="20"/>
              </w:rPr>
            </w:pPr>
          </w:p>
        </w:tc>
      </w:tr>
    </w:tbl>
    <w:p>
      <w:pPr>
        <w:pStyle w:val="33"/>
        <w:jc w:val="center"/>
      </w:pPr>
      <w:r>
        <w:rPr>
          <w:rFonts w:hint="eastAsia"/>
        </w:rPr>
        <w:t xml:space="preserve"> </w:t>
      </w:r>
    </w:p>
    <w:p>
      <w:pPr>
        <w:pStyle w:val="27"/>
        <w:jc w:val="center"/>
      </w:pPr>
      <w:r>
        <w:rPr>
          <w:rStyle w:val="59"/>
          <w:rFonts w:hint="eastAsia" w:ascii="宋体" w:hAnsi="宋体"/>
          <w:sz w:val="36"/>
          <w:szCs w:val="36"/>
        </w:rPr>
        <w:t xml:space="preserve">四川省科学技术厅制  </w:t>
      </w:r>
    </w:p>
    <w:p>
      <w:pPr>
        <w:pStyle w:val="27"/>
        <w:jc w:val="center"/>
      </w:pPr>
      <w:r>
        <w:rPr>
          <w:rStyle w:val="59"/>
          <w:rFonts w:hint="eastAsia" w:ascii="宋体" w:hAnsi="宋体"/>
        </w:rPr>
        <w:t xml:space="preserve">二〇      年     月 </w:t>
      </w:r>
    </w:p>
    <w:p>
      <w:pPr>
        <w:pStyle w:val="27"/>
        <w:jc w:val="center"/>
      </w:pPr>
      <w:r>
        <w:rPr>
          <w:rFonts w:ascii="Times New Roman" w:hAnsi="Times New Roman" w:cs="Times New Roman"/>
          <w:kern w:val="2"/>
          <w:sz w:val="21"/>
          <w:szCs w:val="21"/>
        </w:rPr>
        <w:br w:type="page"/>
      </w:r>
      <w:r>
        <w:rPr>
          <w:rStyle w:val="59"/>
          <w:rFonts w:hint="eastAsia" w:ascii="宋体" w:hAnsi="宋体"/>
          <w:sz w:val="36"/>
          <w:szCs w:val="36"/>
        </w:rPr>
        <w:t xml:space="preserve">填 报 说 明 </w:t>
      </w:r>
    </w:p>
    <w:p>
      <w:pPr>
        <w:numPr>
          <w:ilvl w:val="0"/>
          <w:numId w:val="1"/>
        </w:numPr>
        <w:spacing w:before="100" w:beforeAutospacing="1" w:after="100" w:afterAutospacing="1"/>
      </w:pPr>
      <w:r>
        <w:rPr>
          <w:rFonts w:hint="eastAsia"/>
        </w:rPr>
        <w:t xml:space="preserve">项目负责人填写项目申报书应实事求是，表述明确。外来语要同时用原文和中文表达，第一次出现的缩略词，须注明全称。 </w:t>
      </w:r>
    </w:p>
    <w:p>
      <w:pPr>
        <w:numPr>
          <w:ilvl w:val="0"/>
          <w:numId w:val="1"/>
        </w:numPr>
        <w:spacing w:before="100" w:beforeAutospacing="1" w:after="100" w:afterAutospacing="1"/>
      </w:pPr>
      <w:r>
        <w:rPr>
          <w:rFonts w:hint="eastAsia"/>
        </w:rPr>
        <w:t xml:space="preserve">负责人不用填写“申报编号”栏。 </w:t>
      </w:r>
    </w:p>
    <w:p>
      <w:pPr>
        <w:numPr>
          <w:ilvl w:val="0"/>
          <w:numId w:val="1"/>
        </w:numPr>
        <w:spacing w:before="100" w:beforeAutospacing="1" w:after="100" w:afterAutospacing="1"/>
      </w:pPr>
      <w:r>
        <w:rPr>
          <w:rFonts w:hint="eastAsia"/>
        </w:rPr>
        <w:t xml:space="preserve">推荐单位是指项目申报单位所隶属的省级有关部门或所在市州科技局、扩权县科技部门。 </w:t>
      </w:r>
    </w:p>
    <w:p>
      <w:pPr>
        <w:numPr>
          <w:ilvl w:val="0"/>
          <w:numId w:val="1"/>
        </w:numPr>
        <w:spacing w:before="100" w:beforeAutospacing="1" w:after="100" w:afterAutospacing="1"/>
      </w:pPr>
      <w:r>
        <w:rPr>
          <w:rFonts w:hint="eastAsia"/>
        </w:rPr>
        <w:t xml:space="preserve">各级政府行政机构不得作为项目申报单位，也不可以作为合作单位参与研究。 </w:t>
      </w:r>
    </w:p>
    <w:p>
      <w:pPr>
        <w:numPr>
          <w:ilvl w:val="0"/>
          <w:numId w:val="1"/>
        </w:numPr>
        <w:spacing w:before="100" w:beforeAutospacing="1" w:after="100" w:afterAutospacing="1"/>
      </w:pPr>
      <w:r>
        <w:rPr>
          <w:rFonts w:hint="eastAsia"/>
        </w:rPr>
        <w:t>编写要求：</w:t>
      </w:r>
      <w:r>
        <w:rPr>
          <w:rFonts w:hint="eastAsia"/>
        </w:rPr>
        <w:br w:type="textWrapping"/>
      </w:r>
      <w:r>
        <w:rPr>
          <w:rFonts w:hint="eastAsia"/>
        </w:rPr>
        <w:t>（1）项目符合申报指南的要求，目标定位准确，指标明确、可考核；</w:t>
      </w:r>
      <w:r>
        <w:rPr>
          <w:rFonts w:hint="eastAsia"/>
        </w:rPr>
        <w:br w:type="textWrapping"/>
      </w:r>
      <w:r>
        <w:rPr>
          <w:rFonts w:hint="eastAsia"/>
        </w:rPr>
        <w:t>（2）项目任务明确，要充分考虑经济、技术等方面的可行性；</w:t>
      </w:r>
    </w:p>
    <w:p>
      <w:pPr>
        <w:numPr>
          <w:ilvl w:val="0"/>
          <w:numId w:val="1"/>
        </w:numPr>
        <w:spacing w:before="100" w:beforeAutospacing="1" w:after="100" w:afterAutospacing="1"/>
      </w:pPr>
      <w:r>
        <w:rPr>
          <w:rFonts w:hint="eastAsia"/>
        </w:rPr>
        <w:t xml:space="preserve">项目负责人按申报通知规定的份数，用A4纸双面打印申报书，左侧装订，不得加用塑料等额外装订材料，按照申报通知要求报送。 </w:t>
      </w:r>
    </w:p>
    <w:p>
      <w:r>
        <w:rPr>
          <w:rFonts w:ascii="Times New Roman" w:hAnsi="Times New Roman" w:cs="Times New Roman"/>
          <w:kern w:val="2"/>
          <w:sz w:val="21"/>
          <w:szCs w:val="21"/>
        </w:rPr>
        <w:br w:type="page"/>
      </w:r>
    </w:p>
    <w:p>
      <w:pPr>
        <w:pStyle w:val="48"/>
        <w:jc w:val="center"/>
      </w:pPr>
      <w:r>
        <w:rPr>
          <w:rStyle w:val="59"/>
          <w:rFonts w:hint="eastAsia" w:ascii="宋体" w:hAnsi="宋体"/>
          <w:b/>
          <w:bCs/>
        </w:rPr>
        <w:t>项目信息表</w:t>
      </w:r>
      <w:r>
        <w:rPr>
          <w:rFonts w:hint="eastAsia"/>
        </w:rPr>
        <w:t xml:space="preserve"> </w:t>
      </w:r>
    </w:p>
    <w:tbl>
      <w:tblPr>
        <w:tblStyle w:val="16"/>
        <w:tblW w:w="10200" w:type="dxa"/>
        <w:jc w:val="center"/>
        <w:tblLayout w:type="fixed"/>
        <w:tblCellMar>
          <w:top w:w="45" w:type="dxa"/>
          <w:left w:w="45" w:type="dxa"/>
          <w:bottom w:w="45" w:type="dxa"/>
          <w:right w:w="45" w:type="dxa"/>
        </w:tblCellMar>
      </w:tblPr>
      <w:tblGrid>
        <w:gridCol w:w="380"/>
        <w:gridCol w:w="1560"/>
        <w:gridCol w:w="3327"/>
        <w:gridCol w:w="2160"/>
        <w:gridCol w:w="2773"/>
      </w:tblGrid>
      <w:tr>
        <w:tblPrEx>
          <w:tblCellMar>
            <w:top w:w="45" w:type="dxa"/>
            <w:left w:w="45" w:type="dxa"/>
            <w:bottom w:w="45" w:type="dxa"/>
            <w:right w:w="45" w:type="dxa"/>
          </w:tblCellMar>
        </w:tblPrEx>
        <w:trPr>
          <w:jc w:val="center"/>
        </w:trPr>
        <w:tc>
          <w:tcPr>
            <w:tcW w:w="1940" w:type="dxa"/>
            <w:gridSpan w:val="2"/>
            <w:tcBorders>
              <w:top w:val="single" w:color="000000" w:sz="6" w:space="0"/>
              <w:left w:val="single" w:color="000000" w:sz="6" w:space="0"/>
              <w:bottom w:val="single" w:color="000000" w:sz="6" w:space="0"/>
              <w:right w:val="single" w:color="000000" w:sz="6" w:space="0"/>
            </w:tcBorders>
            <w:vAlign w:val="center"/>
          </w:tcPr>
          <w:p>
            <w:pPr>
              <w:jc w:val="center"/>
            </w:pPr>
            <w:r>
              <w:rPr>
                <w:rFonts w:hint="eastAsia"/>
              </w:rPr>
              <w:t>项目名称</w:t>
            </w:r>
          </w:p>
        </w:tc>
        <w:tc>
          <w:tcPr>
            <w:tcW w:w="8260" w:type="dxa"/>
            <w:gridSpan w:val="3"/>
            <w:tcBorders>
              <w:top w:val="single" w:color="000000" w:sz="6" w:space="0"/>
              <w:left w:val="nil"/>
              <w:bottom w:val="single" w:color="000000" w:sz="6" w:space="0"/>
              <w:right w:val="single" w:color="000000" w:sz="6" w:space="0"/>
            </w:tcBorders>
            <w:vAlign w:val="center"/>
          </w:tcPr>
          <w:p>
            <w:pPr>
              <w:rPr>
                <w:rFonts w:cs="Times New Roman"/>
                <w:color w:val="000000"/>
              </w:rPr>
            </w:pPr>
            <w:r>
              <w:rPr>
                <w:rFonts w:hint="eastAsia"/>
                <w:szCs w:val="28"/>
              </w:rPr>
              <w:t>变电站震害损毁智能检测与评估关键技术研究</w:t>
            </w:r>
          </w:p>
        </w:tc>
      </w:tr>
      <w:tr>
        <w:tblPrEx>
          <w:tblCellMar>
            <w:top w:w="45" w:type="dxa"/>
            <w:left w:w="45" w:type="dxa"/>
            <w:bottom w:w="45" w:type="dxa"/>
            <w:right w:w="45" w:type="dxa"/>
          </w:tblCellMar>
        </w:tblPrEx>
        <w:trPr>
          <w:jc w:val="center"/>
        </w:trPr>
        <w:tc>
          <w:tcPr>
            <w:tcW w:w="1940" w:type="dxa"/>
            <w:gridSpan w:val="2"/>
            <w:tcBorders>
              <w:top w:val="single" w:color="000000" w:sz="6" w:space="0"/>
              <w:left w:val="single" w:color="000000" w:sz="6" w:space="0"/>
              <w:bottom w:val="single" w:color="000000" w:sz="6" w:space="0"/>
              <w:right w:val="single" w:color="000000" w:sz="6" w:space="0"/>
            </w:tcBorders>
            <w:vAlign w:val="center"/>
          </w:tcPr>
          <w:p>
            <w:pPr>
              <w:jc w:val="center"/>
            </w:pPr>
            <w:r>
              <w:rPr>
                <w:rFonts w:hint="eastAsia"/>
              </w:rPr>
              <w:t>起始时间</w:t>
            </w:r>
          </w:p>
        </w:tc>
        <w:tc>
          <w:tcPr>
            <w:tcW w:w="3327" w:type="dxa"/>
            <w:tcBorders>
              <w:top w:val="single" w:color="000000" w:sz="6" w:space="0"/>
              <w:left w:val="nil"/>
              <w:bottom w:val="single" w:color="000000" w:sz="6" w:space="0"/>
              <w:right w:val="single" w:color="000000" w:sz="6" w:space="0"/>
            </w:tcBorders>
            <w:vAlign w:val="center"/>
          </w:tcPr>
          <w:p>
            <w:pPr>
              <w:rPr>
                <w:rFonts w:cs="Times New Roman"/>
                <w:color w:val="000000"/>
                <w:sz w:val="20"/>
                <w:szCs w:val="20"/>
              </w:rPr>
            </w:pPr>
            <w:r>
              <w:rPr>
                <w:rFonts w:hint="eastAsia" w:ascii="仿宋_GB2312" w:cs="Times New Roman"/>
                <w:color w:val="000000"/>
              </w:rPr>
              <w:t>202</w:t>
            </w:r>
            <w:r>
              <w:rPr>
                <w:rFonts w:ascii="仿宋_GB2312" w:cs="Times New Roman"/>
                <w:color w:val="000000"/>
              </w:rPr>
              <w:t>2</w:t>
            </w:r>
            <w:r>
              <w:rPr>
                <w:rFonts w:hint="eastAsia" w:ascii="仿宋_GB2312" w:cs="Times New Roman"/>
                <w:color w:val="000000"/>
              </w:rPr>
              <w:t>年0</w:t>
            </w:r>
            <w:r>
              <w:rPr>
                <w:rFonts w:ascii="仿宋_GB2312" w:eastAsia="仿宋_GB2312" w:cs="Times New Roman"/>
                <w:color w:val="000000"/>
              </w:rPr>
              <w:t>1</w:t>
            </w:r>
            <w:r>
              <w:rPr>
                <w:rFonts w:hint="eastAsia" w:ascii="仿宋_GB2312" w:cs="Times New Roman"/>
                <w:color w:val="000000"/>
              </w:rPr>
              <w:t>月0</w:t>
            </w:r>
            <w:r>
              <w:rPr>
                <w:rFonts w:ascii="仿宋_GB2312" w:cs="Times New Roman"/>
                <w:color w:val="000000"/>
              </w:rPr>
              <w:t>1</w:t>
            </w:r>
            <w:r>
              <w:rPr>
                <w:rFonts w:hint="eastAsia" w:ascii="仿宋_GB2312" w:cs="Times New Roman"/>
                <w:color w:val="000000"/>
              </w:rPr>
              <w:t>日</w:t>
            </w:r>
          </w:p>
        </w:tc>
        <w:tc>
          <w:tcPr>
            <w:tcW w:w="2160" w:type="dxa"/>
            <w:tcBorders>
              <w:top w:val="single" w:color="000000" w:sz="6" w:space="0"/>
              <w:left w:val="nil"/>
              <w:bottom w:val="single" w:color="000000" w:sz="6" w:space="0"/>
              <w:right w:val="single" w:color="000000" w:sz="6" w:space="0"/>
            </w:tcBorders>
            <w:vAlign w:val="center"/>
          </w:tcPr>
          <w:p>
            <w:pPr>
              <w:jc w:val="center"/>
            </w:pPr>
            <w:r>
              <w:rPr>
                <w:rFonts w:hint="eastAsia"/>
              </w:rPr>
              <w:t>终止时间</w:t>
            </w:r>
          </w:p>
        </w:tc>
        <w:tc>
          <w:tcPr>
            <w:tcW w:w="2773" w:type="dxa"/>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仿宋_GB2312" w:cs="Times New Roman"/>
                <w:color w:val="000000"/>
              </w:rPr>
              <w:t>2023年</w:t>
            </w:r>
            <w:r>
              <w:rPr>
                <w:rFonts w:ascii="仿宋_GB2312" w:eastAsia="仿宋_GB2312" w:cs="Times New Roman"/>
                <w:color w:val="000000"/>
              </w:rPr>
              <w:t>12</w:t>
            </w:r>
            <w:r>
              <w:rPr>
                <w:rFonts w:hint="eastAsia" w:ascii="仿宋_GB2312" w:cs="Times New Roman"/>
                <w:color w:val="000000"/>
              </w:rPr>
              <w:t>月</w:t>
            </w:r>
            <w:r>
              <w:rPr>
                <w:rFonts w:ascii="仿宋_GB2312" w:cs="Times New Roman"/>
                <w:color w:val="000000"/>
              </w:rPr>
              <w:t>31</w:t>
            </w:r>
            <w:r>
              <w:rPr>
                <w:rFonts w:hint="eastAsia" w:ascii="仿宋_GB2312" w:cs="Times New Roman"/>
                <w:color w:val="000000"/>
              </w:rPr>
              <w:t>日</w:t>
            </w:r>
          </w:p>
        </w:tc>
      </w:tr>
      <w:tr>
        <w:tblPrEx>
          <w:tblCellMar>
            <w:top w:w="45" w:type="dxa"/>
            <w:left w:w="45" w:type="dxa"/>
            <w:bottom w:w="45" w:type="dxa"/>
            <w:right w:w="45" w:type="dxa"/>
          </w:tblCellMar>
        </w:tblPrEx>
        <w:trPr>
          <w:jc w:val="center"/>
        </w:trPr>
        <w:tc>
          <w:tcPr>
            <w:tcW w:w="1940" w:type="dxa"/>
            <w:gridSpan w:val="2"/>
            <w:tcBorders>
              <w:top w:val="single" w:color="000000" w:sz="6" w:space="0"/>
              <w:left w:val="single" w:color="000000" w:sz="6" w:space="0"/>
              <w:bottom w:val="single" w:color="000000" w:sz="6" w:space="0"/>
              <w:right w:val="single" w:color="000000" w:sz="6" w:space="0"/>
            </w:tcBorders>
            <w:vAlign w:val="center"/>
          </w:tcPr>
          <w:p>
            <w:pPr>
              <w:jc w:val="center"/>
            </w:pPr>
            <w:r>
              <w:rPr>
                <w:rFonts w:hint="eastAsia"/>
              </w:rPr>
              <w:t>创新类型</w:t>
            </w:r>
          </w:p>
        </w:tc>
        <w:tc>
          <w:tcPr>
            <w:tcW w:w="8260"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仿宋_GB2312" w:eastAsia="仿宋_GB2312"/>
              </w:rPr>
              <w:t xml:space="preserve">□原始创新  </w:t>
            </w:r>
            <w:r>
              <w:rPr>
                <w:rFonts w:hint="eastAsia" w:ascii="仿宋_GB2312" w:cs="Times New Roman"/>
                <w:color w:val="000000"/>
              </w:rPr>
              <w:sym w:font="Wingdings 2" w:char="0052"/>
            </w:r>
            <w:r>
              <w:rPr>
                <w:rFonts w:hint="eastAsia" w:ascii="仿宋_GB2312" w:eastAsia="仿宋_GB2312"/>
              </w:rPr>
              <w:t>集成创新  □引进消化吸收再创新</w:t>
            </w:r>
          </w:p>
        </w:tc>
      </w:tr>
      <w:tr>
        <w:tblPrEx>
          <w:tblCellMar>
            <w:top w:w="45" w:type="dxa"/>
            <w:left w:w="45" w:type="dxa"/>
            <w:bottom w:w="45" w:type="dxa"/>
            <w:right w:w="45" w:type="dxa"/>
          </w:tblCellMar>
        </w:tblPrEx>
        <w:trPr>
          <w:trHeight w:val="3044" w:hRule="atLeast"/>
          <w:jc w:val="center"/>
        </w:trPr>
        <w:tc>
          <w:tcPr>
            <w:tcW w:w="1940" w:type="dxa"/>
            <w:gridSpan w:val="2"/>
            <w:tcBorders>
              <w:top w:val="single" w:color="000000" w:sz="6" w:space="0"/>
              <w:left w:val="single" w:color="000000" w:sz="6" w:space="0"/>
              <w:bottom w:val="single" w:color="000000" w:sz="6" w:space="0"/>
              <w:right w:val="single" w:color="000000" w:sz="6" w:space="0"/>
            </w:tcBorders>
            <w:vAlign w:val="center"/>
          </w:tcPr>
          <w:p>
            <w:pPr>
              <w:jc w:val="center"/>
            </w:pPr>
            <w:r>
              <w:rPr>
                <w:rFonts w:hint="eastAsia"/>
              </w:rPr>
              <w:t>项目概述</w:t>
            </w:r>
            <w:r>
              <w:rPr>
                <w:rFonts w:hint="eastAsia"/>
              </w:rPr>
              <w:br w:type="textWrapping"/>
            </w:r>
            <w:r>
              <w:rPr>
                <w:rFonts w:hint="eastAsia"/>
              </w:rPr>
              <w:t>(500字以内)</w:t>
            </w:r>
          </w:p>
        </w:tc>
        <w:tc>
          <w:tcPr>
            <w:tcW w:w="8260" w:type="dxa"/>
            <w:gridSpan w:val="3"/>
            <w:tcBorders>
              <w:top w:val="single" w:color="000000" w:sz="6" w:space="0"/>
              <w:left w:val="nil"/>
              <w:bottom w:val="single" w:color="000000" w:sz="6" w:space="0"/>
              <w:right w:val="single" w:color="000000" w:sz="6" w:space="0"/>
            </w:tcBorders>
            <w:vAlign w:val="center"/>
          </w:tcPr>
          <w:p>
            <w:pPr>
              <w:jc w:val="both"/>
              <w:rPr>
                <w:rFonts w:ascii="Times New Roman" w:hAnsi="Times New Roman" w:cs="Times New Roman"/>
                <w:sz w:val="20"/>
                <w:szCs w:val="20"/>
              </w:rPr>
            </w:pPr>
            <w:bookmarkStart w:id="0" w:name="OLE_LINK10"/>
            <w:r>
              <w:rPr>
                <w:rFonts w:hint="eastAsia"/>
                <w:bCs/>
              </w:rPr>
              <w:t>地震对电网的安全稳定运行具有极其重大的影响</w:t>
            </w:r>
            <w:bookmarkEnd w:id="0"/>
            <w:r>
              <w:rPr>
                <w:rFonts w:hint="eastAsia"/>
                <w:bCs/>
              </w:rPr>
              <w:t>。四川属于我国地震多发区，变电站作为电力系统的重要节点，其震后损毁情况的检测速度和评估的准确程度对变电站紧急通电决策具有极其重要意义。当前我国变电站震后损毁检测主要依靠人工，</w:t>
            </w:r>
            <w:bookmarkStart w:id="1" w:name="OLE_LINK6"/>
            <w:bookmarkStart w:id="2" w:name="OLE_LINK9"/>
            <w:r>
              <w:rPr>
                <w:rFonts w:hint="eastAsia"/>
                <w:bCs/>
              </w:rPr>
              <w:t>缺少智能检测装备和相关技术，这成为电力部门防灾、减灾的痛点。</w:t>
            </w:r>
            <w:bookmarkEnd w:id="1"/>
            <w:bookmarkEnd w:id="2"/>
            <w:r>
              <w:rPr>
                <w:rFonts w:hint="eastAsia"/>
                <w:bCs/>
              </w:rPr>
              <w:t>无人机和人工智能相关技术的出现，为变电站震后损毁检测和评估提供了新的手段。针对无人机检测面临的局部定位精度低、现场存在多种原因导致图像退化和变电站设备损毁检测算法缺失等问题，本项目将研究：</w:t>
            </w:r>
            <w:r>
              <w:rPr>
                <w:rFonts w:hint="eastAsia"/>
                <w:color w:val="000000"/>
              </w:rPr>
              <w:t>（1）局部复杂空间环境下无人机自主建图定位和实时避障技术，克服无人机在变电站震后复杂环境下的自主定位和导航难题；（2）震后变电站场景的无人机图像复原与增强技术，解决在复杂天气和光照条件下无人机采集图像的退化问题；（3）</w:t>
            </w:r>
            <w:r>
              <w:rPr>
                <w:bCs/>
              </w:rPr>
              <w:t>基于无人机图像的</w:t>
            </w:r>
            <w:r>
              <w:rPr>
                <w:rFonts w:hint="eastAsia"/>
                <w:bCs/>
              </w:rPr>
              <w:t>变电站设备裂痕</w:t>
            </w:r>
            <w:r>
              <w:rPr>
                <w:bCs/>
              </w:rPr>
              <w:t>识别</w:t>
            </w:r>
            <w:r>
              <w:rPr>
                <w:rFonts w:hint="eastAsia"/>
                <w:bCs/>
              </w:rPr>
              <w:t>和</w:t>
            </w:r>
            <w:r>
              <w:rPr>
                <w:bCs/>
              </w:rPr>
              <w:t>倾斜检测</w:t>
            </w:r>
            <w:r>
              <w:rPr>
                <w:rFonts w:hint="eastAsia"/>
                <w:bCs/>
              </w:rPr>
              <w:t>算法</w:t>
            </w:r>
            <w:r>
              <w:rPr>
                <w:bCs/>
              </w:rPr>
              <w:t>研究</w:t>
            </w:r>
            <w:r>
              <w:rPr>
                <w:rFonts w:hint="eastAsia"/>
                <w:color w:val="000000"/>
              </w:rPr>
              <w:t>，实现关键电气设备损毁情况的智能评估。本项目研究成果将</w:t>
            </w:r>
            <w:r>
              <w:rPr>
                <w:rFonts w:hint="eastAsia"/>
                <w:bCs/>
              </w:rPr>
              <w:t>为震后变电站紧急通电决策提供技术支撑，有利于震后抢险救灾工作的开展，具有重要理论与应用价值。</w:t>
            </w:r>
          </w:p>
        </w:tc>
      </w:tr>
      <w:tr>
        <w:tblPrEx>
          <w:tblCellMar>
            <w:top w:w="45" w:type="dxa"/>
            <w:left w:w="45" w:type="dxa"/>
            <w:bottom w:w="45" w:type="dxa"/>
            <w:right w:w="45" w:type="dxa"/>
          </w:tblCellMar>
        </w:tblPrEx>
        <w:trPr>
          <w:trHeight w:val="1079" w:hRule="atLeast"/>
          <w:jc w:val="center"/>
        </w:trPr>
        <w:tc>
          <w:tcPr>
            <w:tcW w:w="380" w:type="dxa"/>
            <w:vMerge w:val="restart"/>
            <w:tcBorders>
              <w:top w:val="nil"/>
              <w:left w:val="single" w:color="000000" w:sz="6" w:space="0"/>
              <w:bottom w:val="single" w:color="000000" w:sz="6" w:space="0"/>
              <w:right w:val="single" w:color="000000" w:sz="6" w:space="0"/>
            </w:tcBorders>
            <w:vAlign w:val="center"/>
          </w:tcPr>
          <w:p>
            <w:r>
              <w:rPr>
                <w:rFonts w:hint="eastAsia"/>
              </w:rPr>
              <w:t>预期成果</w:t>
            </w:r>
          </w:p>
        </w:tc>
        <w:tc>
          <w:tcPr>
            <w:tcW w:w="1560" w:type="dxa"/>
            <w:tcBorders>
              <w:top w:val="single" w:color="000000" w:sz="6" w:space="0"/>
              <w:left w:val="nil"/>
              <w:right w:val="single" w:color="000000" w:sz="6" w:space="0"/>
            </w:tcBorders>
            <w:vAlign w:val="center"/>
          </w:tcPr>
          <w:p>
            <w:pPr>
              <w:jc w:val="center"/>
            </w:pPr>
            <w:r>
              <w:rPr>
                <w:rFonts w:hint="eastAsia"/>
              </w:rPr>
              <w:t>成果形式</w:t>
            </w:r>
          </w:p>
        </w:tc>
        <w:tc>
          <w:tcPr>
            <w:tcW w:w="8260" w:type="dxa"/>
            <w:gridSpan w:val="3"/>
            <w:tcBorders>
              <w:top w:val="single" w:color="000000" w:sz="6" w:space="0"/>
              <w:left w:val="nil"/>
              <w:right w:val="single" w:color="000000" w:sz="6" w:space="0"/>
            </w:tcBorders>
            <w:vAlign w:val="center"/>
          </w:tcPr>
          <w:p>
            <w:pPr>
              <w:snapToGrid w:val="0"/>
              <w:spacing w:before="20"/>
              <w:ind w:right="26"/>
            </w:pPr>
            <w:r>
              <w:rPr>
                <w:rFonts w:hint="eastAsia" w:cs="Times New Roman"/>
                <w:color w:val="000000"/>
              </w:rPr>
              <w:t>■</w:t>
            </w:r>
            <w:r>
              <w:rPr>
                <w:rFonts w:hint="eastAsia"/>
              </w:rPr>
              <w:t>专利  □技术标准  □新产品（或农业新品种）  □新工艺</w:t>
            </w:r>
          </w:p>
          <w:p>
            <w:pPr>
              <w:snapToGrid w:val="0"/>
              <w:spacing w:before="20"/>
              <w:ind w:right="26"/>
            </w:pPr>
            <w:r>
              <w:rPr>
                <w:rFonts w:hint="eastAsia"/>
              </w:rPr>
              <w:t xml:space="preserve">□新装置  □新材料 □计算机软件 </w:t>
            </w:r>
            <w:r>
              <w:rPr>
                <w:rFonts w:hint="eastAsia" w:cs="Times New Roman"/>
                <w:color w:val="000000"/>
              </w:rPr>
              <w:t>■</w:t>
            </w:r>
            <w:r>
              <w:rPr>
                <w:rFonts w:hint="eastAsia"/>
              </w:rPr>
              <w:t xml:space="preserve">论文论著 </w:t>
            </w:r>
            <w:r>
              <w:rPr>
                <w:rFonts w:hint="eastAsia" w:cs="Times New Roman"/>
                <w:color w:val="000000"/>
              </w:rPr>
              <w:t>■</w:t>
            </w:r>
            <w:r>
              <w:rPr>
                <w:rFonts w:hint="eastAsia"/>
              </w:rPr>
              <w:t>研究报告</w:t>
            </w:r>
          </w:p>
          <w:p>
            <w:r>
              <w:rPr>
                <w:rFonts w:hint="eastAsia"/>
              </w:rPr>
              <w:t>□其他</w:t>
            </w:r>
          </w:p>
        </w:tc>
      </w:tr>
      <w:tr>
        <w:tblPrEx>
          <w:tblCellMar>
            <w:top w:w="45" w:type="dxa"/>
            <w:left w:w="45" w:type="dxa"/>
            <w:bottom w:w="45" w:type="dxa"/>
            <w:right w:w="45" w:type="dxa"/>
          </w:tblCellMar>
        </w:tblPrEx>
        <w:trPr>
          <w:jc w:val="center"/>
        </w:trPr>
        <w:tc>
          <w:tcPr>
            <w:tcW w:w="380" w:type="dxa"/>
            <w:vMerge w:val="continue"/>
            <w:tcBorders>
              <w:top w:val="nil"/>
              <w:left w:val="single" w:color="000000" w:sz="6" w:space="0"/>
              <w:bottom w:val="single" w:color="000000" w:sz="6" w:space="0"/>
              <w:right w:val="single" w:color="000000" w:sz="6" w:space="0"/>
            </w:tcBorders>
            <w:vAlign w:val="center"/>
          </w:tcPr>
          <w:p/>
        </w:tc>
        <w:tc>
          <w:tcPr>
            <w:tcW w:w="1560" w:type="dxa"/>
            <w:tcBorders>
              <w:top w:val="single" w:color="000000" w:sz="6" w:space="0"/>
              <w:left w:val="nil"/>
              <w:bottom w:val="single" w:color="000000" w:sz="6" w:space="0"/>
              <w:right w:val="single" w:color="000000" w:sz="6" w:space="0"/>
            </w:tcBorders>
            <w:vAlign w:val="center"/>
          </w:tcPr>
          <w:p>
            <w:pPr>
              <w:jc w:val="center"/>
            </w:pPr>
            <w:r>
              <w:rPr>
                <w:rFonts w:hint="eastAsia"/>
              </w:rPr>
              <w:t>知识产权</w:t>
            </w:r>
          </w:p>
        </w:tc>
        <w:tc>
          <w:tcPr>
            <w:tcW w:w="8260" w:type="dxa"/>
            <w:gridSpan w:val="3"/>
            <w:tcBorders>
              <w:top w:val="single" w:color="000000" w:sz="6" w:space="0"/>
              <w:left w:val="nil"/>
              <w:bottom w:val="single" w:color="000000" w:sz="6" w:space="0"/>
              <w:right w:val="single" w:color="000000" w:sz="6" w:space="0"/>
            </w:tcBorders>
            <w:vAlign w:val="center"/>
          </w:tcPr>
          <w:p>
            <w:r>
              <w:rPr>
                <w:rFonts w:hint="eastAsia"/>
              </w:rPr>
              <w:t>发明专利__</w:t>
            </w:r>
            <w:r>
              <w:t>3</w:t>
            </w:r>
            <w:r>
              <w:rPr>
                <w:rFonts w:hint="eastAsia"/>
              </w:rPr>
              <w:t>__项，实用新型专利__</w:t>
            </w:r>
            <w:r>
              <w:t>0</w:t>
            </w:r>
            <w:r>
              <w:rPr>
                <w:rFonts w:hint="eastAsia"/>
              </w:rPr>
              <w:t>__项，其他__</w:t>
            </w:r>
            <w:r>
              <w:t>0</w:t>
            </w:r>
            <w:r>
              <w:rPr>
                <w:rFonts w:hint="eastAsia"/>
              </w:rPr>
              <w:t xml:space="preserve">__项。 </w:t>
            </w:r>
          </w:p>
        </w:tc>
      </w:tr>
      <w:tr>
        <w:tblPrEx>
          <w:tblCellMar>
            <w:top w:w="45" w:type="dxa"/>
            <w:left w:w="45" w:type="dxa"/>
            <w:bottom w:w="45" w:type="dxa"/>
            <w:right w:w="45" w:type="dxa"/>
          </w:tblCellMar>
        </w:tblPrEx>
        <w:trPr>
          <w:jc w:val="center"/>
        </w:trPr>
        <w:tc>
          <w:tcPr>
            <w:tcW w:w="380" w:type="dxa"/>
            <w:vMerge w:val="continue"/>
            <w:tcBorders>
              <w:top w:val="nil"/>
              <w:left w:val="single" w:color="000000" w:sz="6" w:space="0"/>
              <w:bottom w:val="single" w:color="000000" w:sz="6" w:space="0"/>
              <w:right w:val="single" w:color="000000" w:sz="6" w:space="0"/>
            </w:tcBorders>
            <w:vAlign w:val="center"/>
          </w:tcPr>
          <w:p/>
        </w:tc>
        <w:tc>
          <w:tcPr>
            <w:tcW w:w="1560" w:type="dxa"/>
            <w:tcBorders>
              <w:top w:val="single" w:color="000000" w:sz="6" w:space="0"/>
              <w:left w:val="nil"/>
              <w:bottom w:val="single" w:color="000000" w:sz="6" w:space="0"/>
              <w:right w:val="single" w:color="000000" w:sz="6" w:space="0"/>
            </w:tcBorders>
            <w:vAlign w:val="center"/>
          </w:tcPr>
          <w:p>
            <w:pPr>
              <w:jc w:val="center"/>
            </w:pPr>
            <w:r>
              <w:rPr>
                <w:rFonts w:hint="eastAsia"/>
              </w:rPr>
              <w:t>技术标准制定</w:t>
            </w:r>
          </w:p>
        </w:tc>
        <w:tc>
          <w:tcPr>
            <w:tcW w:w="8260" w:type="dxa"/>
            <w:gridSpan w:val="3"/>
            <w:tcBorders>
              <w:top w:val="single" w:color="000000" w:sz="6" w:space="0"/>
              <w:left w:val="nil"/>
              <w:bottom w:val="single" w:color="000000" w:sz="6" w:space="0"/>
              <w:right w:val="single" w:color="000000" w:sz="6" w:space="0"/>
            </w:tcBorders>
            <w:vAlign w:val="center"/>
          </w:tcPr>
          <w:p>
            <w:pPr>
              <w:snapToGrid w:val="0"/>
            </w:pPr>
            <w:r>
              <w:rPr>
                <w:rFonts w:hint="eastAsia" w:ascii="仿宋_GB2312" w:eastAsia="仿宋_GB2312"/>
              </w:rPr>
              <w:t>□</w:t>
            </w:r>
            <w:r>
              <w:rPr>
                <w:rFonts w:hint="eastAsia"/>
              </w:rPr>
              <w:t xml:space="preserve">国际标准 </w:t>
            </w:r>
            <w:r>
              <w:rPr>
                <w:rFonts w:hint="eastAsia" w:ascii="仿宋_GB2312" w:eastAsia="仿宋_GB2312"/>
              </w:rPr>
              <w:t>□</w:t>
            </w:r>
            <w:r>
              <w:rPr>
                <w:rFonts w:hint="eastAsia"/>
              </w:rPr>
              <w:t xml:space="preserve">国家、行业标准 </w:t>
            </w:r>
            <w:r>
              <w:rPr>
                <w:rFonts w:hint="eastAsia" w:ascii="仿宋_GB2312" w:eastAsia="仿宋_GB2312"/>
              </w:rPr>
              <w:t>□</w:t>
            </w:r>
            <w:r>
              <w:rPr>
                <w:rFonts w:hint="eastAsia"/>
              </w:rPr>
              <w:t xml:space="preserve">地方、企业标准 </w:t>
            </w:r>
            <w:r>
              <w:rPr>
                <w:rFonts w:hint="eastAsia" w:cs="Times New Roman"/>
                <w:color w:val="000000"/>
              </w:rPr>
              <w:t>■</w:t>
            </w:r>
            <w:r>
              <w:rPr>
                <w:rFonts w:hint="eastAsia"/>
              </w:rPr>
              <w:t>无</w:t>
            </w:r>
          </w:p>
        </w:tc>
      </w:tr>
      <w:tr>
        <w:tblPrEx>
          <w:tblCellMar>
            <w:top w:w="45" w:type="dxa"/>
            <w:left w:w="45" w:type="dxa"/>
            <w:bottom w:w="45" w:type="dxa"/>
            <w:right w:w="45" w:type="dxa"/>
          </w:tblCellMar>
        </w:tblPrEx>
        <w:trPr>
          <w:jc w:val="center"/>
        </w:trPr>
        <w:tc>
          <w:tcPr>
            <w:tcW w:w="1940" w:type="dxa"/>
            <w:gridSpan w:val="2"/>
            <w:tcBorders>
              <w:top w:val="single" w:color="000000" w:sz="6" w:space="0"/>
              <w:left w:val="single" w:color="000000" w:sz="6" w:space="0"/>
              <w:bottom w:val="single" w:color="000000" w:sz="6" w:space="0"/>
              <w:right w:val="single" w:color="000000" w:sz="6" w:space="0"/>
            </w:tcBorders>
            <w:vAlign w:val="center"/>
          </w:tcPr>
          <w:p>
            <w:pPr>
              <w:jc w:val="center"/>
            </w:pPr>
            <w:r>
              <w:rPr>
                <w:rFonts w:hint="eastAsia"/>
              </w:rPr>
              <w:t>产学研联合</w:t>
            </w:r>
          </w:p>
        </w:tc>
        <w:tc>
          <w:tcPr>
            <w:tcW w:w="8260"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rPr>
              <w:t xml:space="preserve">□是 </w:t>
            </w:r>
            <w:r>
              <w:rPr>
                <w:rFonts w:hint="eastAsia" w:cs="Times New Roman"/>
                <w:color w:val="000000"/>
              </w:rPr>
              <w:t>■</w:t>
            </w:r>
            <w:r>
              <w:rPr>
                <w:rFonts w:hint="eastAsia"/>
              </w:rPr>
              <w:t>否</w:t>
            </w:r>
          </w:p>
        </w:tc>
      </w:tr>
      <w:tr>
        <w:tblPrEx>
          <w:tblCellMar>
            <w:top w:w="45" w:type="dxa"/>
            <w:left w:w="45" w:type="dxa"/>
            <w:bottom w:w="45" w:type="dxa"/>
            <w:right w:w="45" w:type="dxa"/>
          </w:tblCellMar>
        </w:tblPrEx>
        <w:trPr>
          <w:jc w:val="center"/>
        </w:trPr>
        <w:tc>
          <w:tcPr>
            <w:tcW w:w="1940" w:type="dxa"/>
            <w:gridSpan w:val="2"/>
            <w:tcBorders>
              <w:top w:val="single" w:color="000000" w:sz="6" w:space="0"/>
              <w:left w:val="single" w:color="000000" w:sz="6" w:space="0"/>
              <w:bottom w:val="single" w:color="000000" w:sz="6" w:space="0"/>
              <w:right w:val="single" w:color="000000" w:sz="6" w:space="0"/>
            </w:tcBorders>
            <w:vAlign w:val="center"/>
          </w:tcPr>
          <w:p>
            <w:pPr>
              <w:jc w:val="center"/>
            </w:pPr>
            <w:r>
              <w:rPr>
                <w:rFonts w:hint="eastAsia"/>
              </w:rPr>
              <w:t>知识产权状况</w:t>
            </w:r>
          </w:p>
        </w:tc>
        <w:tc>
          <w:tcPr>
            <w:tcW w:w="8260" w:type="dxa"/>
            <w:gridSpan w:val="3"/>
            <w:tcBorders>
              <w:top w:val="single" w:color="000000" w:sz="6" w:space="0"/>
              <w:left w:val="nil"/>
              <w:bottom w:val="single" w:color="000000" w:sz="6" w:space="0"/>
              <w:right w:val="single" w:color="000000" w:sz="6" w:space="0"/>
            </w:tcBorders>
            <w:vAlign w:val="center"/>
          </w:tcPr>
          <w:p>
            <w:pPr>
              <w:rPr>
                <w:rFonts w:ascii="仿宋_GB2312" w:eastAsia="仿宋_GB2312"/>
              </w:rPr>
            </w:pPr>
            <w:r>
              <w:rPr>
                <w:rFonts w:hint="eastAsia"/>
              </w:rPr>
              <w:t>申报单位独占（√）  相关单位共享（）</w:t>
            </w:r>
          </w:p>
        </w:tc>
      </w:tr>
      <w:tr>
        <w:tblPrEx>
          <w:tblCellMar>
            <w:top w:w="45" w:type="dxa"/>
            <w:left w:w="45" w:type="dxa"/>
            <w:bottom w:w="45" w:type="dxa"/>
            <w:right w:w="45" w:type="dxa"/>
          </w:tblCellMar>
        </w:tblPrEx>
        <w:trPr>
          <w:jc w:val="center"/>
        </w:trPr>
        <w:tc>
          <w:tcPr>
            <w:tcW w:w="1940" w:type="dxa"/>
            <w:gridSpan w:val="2"/>
            <w:tcBorders>
              <w:top w:val="single" w:color="000000" w:sz="6" w:space="0"/>
              <w:left w:val="single" w:color="000000" w:sz="6" w:space="0"/>
              <w:bottom w:val="single" w:color="000000" w:sz="6" w:space="0"/>
              <w:right w:val="single" w:color="000000" w:sz="6" w:space="0"/>
            </w:tcBorders>
            <w:vAlign w:val="center"/>
          </w:tcPr>
          <w:p>
            <w:pPr>
              <w:jc w:val="center"/>
            </w:pPr>
            <w:r>
              <w:rPr>
                <w:rFonts w:hint="eastAsia"/>
              </w:rPr>
              <w:t>经费概算</w:t>
            </w:r>
          </w:p>
        </w:tc>
        <w:tc>
          <w:tcPr>
            <w:tcW w:w="8260" w:type="dxa"/>
            <w:gridSpan w:val="3"/>
            <w:tcBorders>
              <w:top w:val="single" w:color="000000" w:sz="6" w:space="0"/>
              <w:left w:val="nil"/>
              <w:bottom w:val="single" w:color="000000" w:sz="6" w:space="0"/>
              <w:right w:val="single" w:color="000000" w:sz="6" w:space="0"/>
            </w:tcBorders>
            <w:vAlign w:val="center"/>
          </w:tcPr>
          <w:p>
            <w:r>
              <w:rPr>
                <w:rFonts w:hint="eastAsia"/>
              </w:rPr>
              <w:t>__</w:t>
            </w:r>
            <w:r>
              <w:t>20</w:t>
            </w:r>
            <w:r>
              <w:rPr>
                <w:rFonts w:hint="eastAsia"/>
              </w:rPr>
              <w:t>__万元，其中申请省级财政科技经费__</w:t>
            </w:r>
            <w:r>
              <w:t>20</w:t>
            </w:r>
            <w:r>
              <w:rPr>
                <w:rFonts w:hint="eastAsia"/>
              </w:rPr>
              <w:t xml:space="preserve">__万元。 </w:t>
            </w:r>
          </w:p>
        </w:tc>
      </w:tr>
    </w:tbl>
    <w:p>
      <w:pPr>
        <w:rPr>
          <w:rFonts w:ascii="Times New Roman" w:hAnsi="Times New Roman" w:cs="Times New Roman"/>
          <w:kern w:val="2"/>
          <w:sz w:val="21"/>
          <w:szCs w:val="21"/>
        </w:rPr>
      </w:pPr>
      <w:r>
        <w:rPr>
          <w:rFonts w:hint="eastAsia"/>
        </w:rPr>
        <w:br w:type="textWrapping"/>
      </w:r>
      <w:r>
        <w:rPr>
          <w:rFonts w:ascii="Times New Roman" w:hAnsi="Times New Roman" w:cs="Times New Roman"/>
          <w:kern w:val="2"/>
          <w:sz w:val="21"/>
          <w:szCs w:val="21"/>
        </w:rPr>
        <w:br w:type="page"/>
      </w:r>
    </w:p>
    <w:tbl>
      <w:tblPr>
        <w:tblStyle w:val="16"/>
        <w:tblW w:w="10200" w:type="dxa"/>
        <w:jc w:val="center"/>
        <w:tblLayout w:type="fixed"/>
        <w:tblCellMar>
          <w:top w:w="0" w:type="dxa"/>
          <w:left w:w="0" w:type="dxa"/>
          <w:bottom w:w="0" w:type="dxa"/>
          <w:right w:w="0" w:type="dxa"/>
        </w:tblCellMar>
      </w:tblPr>
      <w:tblGrid>
        <w:gridCol w:w="10200"/>
      </w:tblGrid>
      <w:tr>
        <w:tblPrEx>
          <w:tblCellMar>
            <w:top w:w="0" w:type="dxa"/>
            <w:left w:w="0" w:type="dxa"/>
            <w:bottom w:w="0" w:type="dxa"/>
            <w:right w:w="0" w:type="dxa"/>
          </w:tblCellMar>
        </w:tblPrEx>
        <w:trPr>
          <w:trHeight w:val="1031" w:hRule="atLeast"/>
          <w:jc w:val="center"/>
        </w:trPr>
        <w:tc>
          <w:tcPr>
            <w:tcW w:w="10200" w:type="dxa"/>
            <w:tcBorders>
              <w:top w:val="single" w:color="000000" w:sz="6" w:space="0"/>
              <w:left w:val="single" w:color="000000" w:sz="6" w:space="0"/>
              <w:bottom w:val="single" w:color="auto" w:sz="4" w:space="0"/>
              <w:right w:val="single" w:color="000000" w:sz="6" w:space="0"/>
            </w:tcBorders>
            <w:vAlign w:val="center"/>
          </w:tcPr>
          <w:p>
            <w:pPr>
              <w:pStyle w:val="2"/>
              <w:spacing w:after="156"/>
              <w:rPr>
                <w:rFonts w:cs="Times New Roman"/>
                <w:spacing w:val="15"/>
              </w:rPr>
            </w:pPr>
            <w:r>
              <w:rPr>
                <w:rFonts w:hint="eastAsia"/>
                <w:sz w:val="28"/>
                <w:szCs w:val="28"/>
              </w:rPr>
              <w:t>一、</w:t>
            </w:r>
            <w:r>
              <w:rPr>
                <w:sz w:val="28"/>
                <w:szCs w:val="28"/>
              </w:rPr>
              <w:t>立项的必要性及国内外研究现状、发展趋势和知识产权状况分析</w:t>
            </w:r>
            <w:r>
              <w:rPr>
                <w:b w:val="0"/>
                <w:bCs w:val="0"/>
                <w:sz w:val="28"/>
                <w:szCs w:val="28"/>
              </w:rPr>
              <w:t>(不超过2000字)</w:t>
            </w:r>
          </w:p>
        </w:tc>
      </w:tr>
      <w:tr>
        <w:tblPrEx>
          <w:tblCellMar>
            <w:top w:w="0" w:type="dxa"/>
            <w:left w:w="0" w:type="dxa"/>
            <w:bottom w:w="0" w:type="dxa"/>
            <w:right w:w="0" w:type="dxa"/>
          </w:tblCellMar>
        </w:tblPrEx>
        <w:trPr>
          <w:trHeight w:val="12165" w:hRule="atLeast"/>
          <w:jc w:val="center"/>
        </w:trPr>
        <w:tc>
          <w:tcPr>
            <w:tcW w:w="10200" w:type="dxa"/>
            <w:tcBorders>
              <w:top w:val="single" w:color="auto" w:sz="4" w:space="0"/>
              <w:left w:val="single" w:color="000000" w:sz="6" w:space="0"/>
              <w:bottom w:val="single" w:color="auto" w:sz="4" w:space="0"/>
              <w:right w:val="single" w:color="000000" w:sz="6" w:space="0"/>
            </w:tcBorders>
            <w:vAlign w:val="center"/>
          </w:tcPr>
          <w:p>
            <w:pPr>
              <w:spacing w:after="120"/>
              <w:rPr>
                <w:rFonts w:cs="Times New Roman"/>
                <w:b/>
                <w:bCs/>
                <w:color w:val="000000"/>
                <w:spacing w:val="15"/>
              </w:rPr>
            </w:pPr>
            <w:r>
              <w:rPr>
                <w:rFonts w:hint="eastAsia" w:cs="Times New Roman"/>
                <w:b/>
                <w:bCs/>
                <w:color w:val="000000"/>
                <w:spacing w:val="15"/>
              </w:rPr>
              <w:t>1.1立项必要性</w:t>
            </w:r>
          </w:p>
          <w:p>
            <w:pPr>
              <w:widowControl w:val="0"/>
              <w:spacing w:line="400" w:lineRule="exact"/>
              <w:ind w:firstLine="480" w:firstLineChars="200"/>
              <w:jc w:val="both"/>
              <w:rPr>
                <w:rFonts w:ascii="Times New Roman" w:hAnsi="Times New Roman" w:cs="Times New Roman"/>
                <w:kern w:val="2"/>
                <w:szCs w:val="22"/>
              </w:rPr>
            </w:pPr>
            <w:bookmarkStart w:id="3" w:name="OLE_LINK3"/>
            <w:r>
              <w:rPr>
                <w:rFonts w:hint="eastAsia" w:ascii="Times New Roman" w:hAnsi="Times New Roman" w:cs="Times New Roman"/>
                <w:kern w:val="2"/>
                <w:szCs w:val="22"/>
              </w:rPr>
              <w:t>地震对我国电网的安全稳定运行有着极其重大的影响，重大地震</w:t>
            </w:r>
            <w:r>
              <w:rPr>
                <w:rFonts w:hint="eastAsia" w:ascii="Times New Roman" w:hAnsi="Times New Roman" w:cs="Times New Roman"/>
              </w:rPr>
              <w:t>灾害下变电站的损坏情况如表1所示</w:t>
            </w:r>
            <w:r>
              <w:rPr>
                <w:rFonts w:hint="eastAsia" w:ascii="Times New Roman" w:hAnsi="Times New Roman" w:cs="Times New Roman"/>
                <w:kern w:val="2"/>
                <w:szCs w:val="22"/>
              </w:rPr>
              <w:t>。根据“十四五”规划的要求，我国将建设9大清洁能源基地</w:t>
            </w:r>
            <w:r>
              <w:rPr>
                <w:rFonts w:hint="eastAsia" w:ascii="Times New Roman" w:hAnsi="Times New Roman" w:cs="Times New Roman"/>
                <w:kern w:val="2"/>
                <w:szCs w:val="22"/>
                <w:vertAlign w:val="superscript"/>
              </w:rPr>
              <w:t>[</w:t>
            </w:r>
            <w:r>
              <w:rPr>
                <w:rFonts w:ascii="Times New Roman" w:hAnsi="Times New Roman" w:cs="Times New Roman"/>
                <w:kern w:val="2"/>
                <w:szCs w:val="22"/>
                <w:vertAlign w:val="superscript"/>
              </w:rPr>
              <w:t>1]</w:t>
            </w:r>
            <w:r>
              <w:rPr>
                <w:rFonts w:hint="eastAsia" w:ascii="Times New Roman" w:hAnsi="Times New Roman" w:cs="Times New Roman"/>
                <w:kern w:val="2"/>
                <w:szCs w:val="22"/>
              </w:rPr>
              <w:t>，其中8个及其电力外送通道邻近南北地震带。在5.12大地震中，四川电网遭受重创，其中171座变电站损坏，405万用户停电，直接经济损失达106亿元。在地震29天后，损坏变电站中的155座才被修复恢复运行</w:t>
            </w:r>
            <w:r>
              <w:rPr>
                <w:rFonts w:hint="eastAsia" w:ascii="Times New Roman" w:hAnsi="Times New Roman" w:cs="Times New Roman"/>
                <w:kern w:val="2"/>
                <w:szCs w:val="22"/>
                <w:vertAlign w:val="superscript"/>
              </w:rPr>
              <w:t>[</w:t>
            </w:r>
            <w:r>
              <w:rPr>
                <w:rFonts w:ascii="Times New Roman" w:hAnsi="Times New Roman" w:cs="Times New Roman"/>
                <w:kern w:val="2"/>
                <w:szCs w:val="22"/>
                <w:vertAlign w:val="superscript"/>
              </w:rPr>
              <w:t>2</w:t>
            </w:r>
            <w:r>
              <w:rPr>
                <w:rFonts w:hint="eastAsia" w:ascii="Times New Roman" w:hAnsi="Times New Roman" w:cs="Times New Roman"/>
                <w:kern w:val="2"/>
                <w:szCs w:val="22"/>
                <w:vertAlign w:val="superscript"/>
              </w:rPr>
              <w:t>]</w:t>
            </w:r>
            <w:r>
              <w:rPr>
                <w:rFonts w:hint="eastAsia" w:ascii="Times New Roman" w:hAnsi="Times New Roman" w:cs="Times New Roman"/>
                <w:kern w:val="2"/>
                <w:szCs w:val="22"/>
              </w:rPr>
              <w:t>。如果震后变电站能够尽快通电，则会极大地改善现场抢险救灾的条件，同时显著减少有关企业的经济损失。变电站损毁检测是震后变电站紧急通电决策的技术依据，与变电站日常巡检相比，震后损毁检测具有任务紧急、检测困难且地震次生灾害易对人员生命造成威胁的特点。</w:t>
            </w:r>
            <w:r>
              <w:rPr>
                <w:rFonts w:hint="eastAsia" w:ascii="Times New Roman" w:hAnsi="Times New Roman" w:cs="Times New Roman"/>
                <w:b/>
                <w:kern w:val="2"/>
                <w:szCs w:val="22"/>
                <w:u w:val="single"/>
              </w:rPr>
              <w:t>现有检测和分析依靠人工完成，效率低、风险高，甚至因交通阻断等原因导致长时间无法进行</w:t>
            </w:r>
            <w:r>
              <w:rPr>
                <w:rFonts w:hint="eastAsia" w:ascii="Times New Roman" w:hAnsi="Times New Roman" w:cs="Times New Roman"/>
                <w:kern w:val="2"/>
                <w:szCs w:val="22"/>
              </w:rPr>
              <w:t>。因此，研究更加高效、智能的检测技术，提高变电站设备损毁检测效率和准确程度，成为亟待解决的难题。</w:t>
            </w:r>
          </w:p>
          <w:p>
            <w:pPr>
              <w:spacing w:before="120" w:beforeLines="50" w:line="360" w:lineRule="auto"/>
              <w:jc w:val="center"/>
              <w:rPr>
                <w:rFonts w:ascii="Times New Roman" w:hAnsi="Times New Roman" w:cs="Times New Roman"/>
                <w:sz w:val="21"/>
                <w:szCs w:val="21"/>
              </w:rPr>
            </w:pPr>
            <w:r>
              <w:rPr>
                <w:rFonts w:hint="eastAsia" w:ascii="Times New Roman" w:hAnsi="Times New Roman" w:cs="Times New Roman"/>
                <w:sz w:val="21"/>
                <w:szCs w:val="21"/>
              </w:rPr>
              <w:t>表1地震灾害下变电站受损情况</w:t>
            </w:r>
          </w:p>
          <w:tbl>
            <w:tblPr>
              <w:tblStyle w:val="16"/>
              <w:tblW w:w="8050" w:type="dxa"/>
              <w:jc w:val="center"/>
              <w:tblLayout w:type="fixed"/>
              <w:tblCellMar>
                <w:top w:w="0" w:type="dxa"/>
                <w:left w:w="0" w:type="dxa"/>
                <w:bottom w:w="0" w:type="dxa"/>
                <w:right w:w="0" w:type="dxa"/>
              </w:tblCellMar>
            </w:tblPr>
            <w:tblGrid>
              <w:gridCol w:w="2494"/>
              <w:gridCol w:w="1474"/>
              <w:gridCol w:w="1701"/>
              <w:gridCol w:w="2381"/>
            </w:tblGrid>
            <w:tr>
              <w:tblPrEx>
                <w:tblCellMar>
                  <w:top w:w="0" w:type="dxa"/>
                  <w:left w:w="0" w:type="dxa"/>
                  <w:bottom w:w="0" w:type="dxa"/>
                  <w:right w:w="0" w:type="dxa"/>
                </w:tblCellMar>
              </w:tblPrEx>
              <w:trPr>
                <w:trHeight w:val="170" w:hRule="atLeast"/>
                <w:jc w:val="center"/>
              </w:trPr>
              <w:tc>
                <w:tcPr>
                  <w:tcW w:w="2494" w:type="dxa"/>
                  <w:tcBorders>
                    <w:top w:val="single" w:color="000000" w:sz="8" w:space="0"/>
                    <w:left w:val="nil"/>
                    <w:bottom w:val="single" w:color="000000" w:sz="8" w:space="0"/>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hint="eastAsia" w:ascii="Times New Roman" w:cs="Times New Roman"/>
                      <w:b/>
                      <w:bCs/>
                      <w:color w:val="000000"/>
                      <w:kern w:val="24"/>
                      <w:sz w:val="21"/>
                      <w:szCs w:val="21"/>
                    </w:rPr>
                    <w:t>地震</w:t>
                  </w:r>
                </w:p>
              </w:tc>
              <w:tc>
                <w:tcPr>
                  <w:tcW w:w="1474" w:type="dxa"/>
                  <w:tcBorders>
                    <w:top w:val="single" w:color="000000" w:sz="8" w:space="0"/>
                    <w:left w:val="nil"/>
                    <w:bottom w:val="single" w:color="000000" w:sz="8" w:space="0"/>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hint="eastAsia" w:ascii="Times New Roman" w:cs="Times New Roman"/>
                      <w:b/>
                      <w:bCs/>
                      <w:color w:val="000000"/>
                      <w:kern w:val="24"/>
                      <w:sz w:val="21"/>
                      <w:szCs w:val="21"/>
                    </w:rPr>
                    <w:t>时间</w:t>
                  </w:r>
                </w:p>
              </w:tc>
              <w:tc>
                <w:tcPr>
                  <w:tcW w:w="1701" w:type="dxa"/>
                  <w:tcBorders>
                    <w:top w:val="single" w:color="000000" w:sz="8" w:space="0"/>
                    <w:left w:val="nil"/>
                    <w:bottom w:val="single" w:color="000000" w:sz="8" w:space="0"/>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hint="eastAsia" w:ascii="Times New Roman" w:cs="Times New Roman"/>
                      <w:b/>
                      <w:bCs/>
                      <w:color w:val="000000"/>
                      <w:kern w:val="24"/>
                      <w:sz w:val="21"/>
                      <w:szCs w:val="21"/>
                    </w:rPr>
                    <w:t>震级</w:t>
                  </w:r>
                </w:p>
              </w:tc>
              <w:tc>
                <w:tcPr>
                  <w:tcW w:w="2381" w:type="dxa"/>
                  <w:tcBorders>
                    <w:top w:val="single" w:color="000000" w:sz="8" w:space="0"/>
                    <w:left w:val="nil"/>
                    <w:bottom w:val="single" w:color="000000" w:sz="8" w:space="0"/>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hint="eastAsia" w:ascii="Times New Roman" w:cs="Times New Roman"/>
                      <w:b/>
                      <w:bCs/>
                      <w:color w:val="000000"/>
                      <w:kern w:val="24"/>
                      <w:sz w:val="21"/>
                      <w:szCs w:val="21"/>
                    </w:rPr>
                    <w:t>变电站损坏数量</w:t>
                  </w:r>
                </w:p>
              </w:tc>
            </w:tr>
            <w:tr>
              <w:tblPrEx>
                <w:tblCellMar>
                  <w:top w:w="0" w:type="dxa"/>
                  <w:left w:w="0" w:type="dxa"/>
                  <w:bottom w:w="0" w:type="dxa"/>
                  <w:right w:w="0" w:type="dxa"/>
                </w:tblCellMar>
              </w:tblPrEx>
              <w:trPr>
                <w:trHeight w:val="170" w:hRule="atLeast"/>
                <w:jc w:val="center"/>
              </w:trPr>
              <w:tc>
                <w:tcPr>
                  <w:tcW w:w="2494" w:type="dxa"/>
                  <w:tcBorders>
                    <w:top w:val="single" w:color="000000" w:sz="8" w:space="0"/>
                    <w:left w:val="nil"/>
                    <w:bottom w:val="nil"/>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hint="eastAsia" w:ascii="Times New Roman" w:cs="Times New Roman"/>
                      <w:color w:val="000000"/>
                      <w:kern w:val="24"/>
                      <w:sz w:val="21"/>
                      <w:szCs w:val="21"/>
                    </w:rPr>
                    <w:t>唐山地震</w:t>
                  </w:r>
                </w:p>
              </w:tc>
              <w:tc>
                <w:tcPr>
                  <w:tcW w:w="1474" w:type="dxa"/>
                  <w:tcBorders>
                    <w:top w:val="single" w:color="000000" w:sz="8" w:space="0"/>
                    <w:left w:val="nil"/>
                    <w:bottom w:val="nil"/>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ascii="Times New Roman" w:hAnsi="Times New Roman" w:cs="Times New Roman"/>
                      <w:kern w:val="24"/>
                      <w:sz w:val="21"/>
                      <w:szCs w:val="21"/>
                    </w:rPr>
                    <w:t>1976.07</w:t>
                  </w:r>
                </w:p>
              </w:tc>
              <w:tc>
                <w:tcPr>
                  <w:tcW w:w="1701" w:type="dxa"/>
                  <w:tcBorders>
                    <w:top w:val="single" w:color="000000" w:sz="8" w:space="0"/>
                    <w:left w:val="nil"/>
                    <w:bottom w:val="nil"/>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ascii="Times New Roman" w:hAnsi="Times New Roman" w:cs="Times New Roman"/>
                      <w:color w:val="000000"/>
                      <w:kern w:val="24"/>
                      <w:sz w:val="21"/>
                      <w:szCs w:val="21"/>
                    </w:rPr>
                    <w:t>7.8</w:t>
                  </w:r>
                </w:p>
              </w:tc>
              <w:tc>
                <w:tcPr>
                  <w:tcW w:w="2381" w:type="dxa"/>
                  <w:tcBorders>
                    <w:top w:val="single" w:color="000000" w:sz="8" w:space="0"/>
                    <w:left w:val="nil"/>
                    <w:bottom w:val="nil"/>
                    <w:right w:val="nil"/>
                  </w:tcBorders>
                  <w:shd w:val="clear" w:color="auto" w:fill="FFFFFF"/>
                  <w:tcMar>
                    <w:top w:w="72" w:type="dxa"/>
                    <w:left w:w="144" w:type="dxa"/>
                    <w:bottom w:w="72" w:type="dxa"/>
                    <w:right w:w="144" w:type="dxa"/>
                  </w:tcMar>
                  <w:vAlign w:val="center"/>
                </w:tcPr>
                <w:p>
                  <w:pPr>
                    <w:jc w:val="center"/>
                    <w:rPr>
                      <w:rFonts w:ascii="Arial" w:hAnsi="Arial" w:cs="Arial"/>
                      <w:b/>
                      <w:sz w:val="21"/>
                      <w:szCs w:val="21"/>
                    </w:rPr>
                  </w:pPr>
                  <w:r>
                    <w:rPr>
                      <w:rFonts w:ascii="Times New Roman" w:hAnsi="Times New Roman" w:cs="Times New Roman"/>
                      <w:b/>
                      <w:color w:val="000000"/>
                      <w:kern w:val="24"/>
                      <w:sz w:val="21"/>
                      <w:szCs w:val="21"/>
                    </w:rPr>
                    <w:t>33</w:t>
                  </w:r>
                </w:p>
              </w:tc>
            </w:tr>
            <w:tr>
              <w:tblPrEx>
                <w:tblCellMar>
                  <w:top w:w="0" w:type="dxa"/>
                  <w:left w:w="0" w:type="dxa"/>
                  <w:bottom w:w="0" w:type="dxa"/>
                  <w:right w:w="0" w:type="dxa"/>
                </w:tblCellMar>
              </w:tblPrEx>
              <w:trPr>
                <w:trHeight w:val="170" w:hRule="atLeast"/>
                <w:jc w:val="center"/>
              </w:trPr>
              <w:tc>
                <w:tcPr>
                  <w:tcW w:w="2494" w:type="dxa"/>
                  <w:tcBorders>
                    <w:top w:val="nil"/>
                    <w:left w:val="nil"/>
                    <w:bottom w:val="nil"/>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hint="eastAsia" w:ascii="Times New Roman" w:cs="Times New Roman"/>
                      <w:color w:val="000000"/>
                      <w:kern w:val="24"/>
                      <w:sz w:val="21"/>
                      <w:szCs w:val="21"/>
                    </w:rPr>
                    <w:t>汶川地震</w:t>
                  </w:r>
                </w:p>
              </w:tc>
              <w:tc>
                <w:tcPr>
                  <w:tcW w:w="1474" w:type="dxa"/>
                  <w:tcBorders>
                    <w:top w:val="nil"/>
                    <w:left w:val="nil"/>
                    <w:bottom w:val="nil"/>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ascii="Times New Roman" w:hAnsi="Times New Roman" w:cs="Times New Roman"/>
                      <w:color w:val="000000"/>
                      <w:kern w:val="24"/>
                      <w:sz w:val="21"/>
                      <w:szCs w:val="21"/>
                    </w:rPr>
                    <w:t>2008.05</w:t>
                  </w:r>
                </w:p>
              </w:tc>
              <w:tc>
                <w:tcPr>
                  <w:tcW w:w="1701" w:type="dxa"/>
                  <w:tcBorders>
                    <w:top w:val="nil"/>
                    <w:left w:val="nil"/>
                    <w:bottom w:val="nil"/>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ascii="Times New Roman" w:hAnsi="Times New Roman" w:cs="Times New Roman"/>
                      <w:color w:val="000000"/>
                      <w:kern w:val="24"/>
                      <w:sz w:val="21"/>
                      <w:szCs w:val="21"/>
                    </w:rPr>
                    <w:t>8.0</w:t>
                  </w:r>
                </w:p>
              </w:tc>
              <w:tc>
                <w:tcPr>
                  <w:tcW w:w="2381" w:type="dxa"/>
                  <w:tcBorders>
                    <w:top w:val="nil"/>
                    <w:left w:val="nil"/>
                    <w:bottom w:val="nil"/>
                    <w:right w:val="nil"/>
                  </w:tcBorders>
                  <w:shd w:val="clear" w:color="auto" w:fill="FFFFFF"/>
                  <w:tcMar>
                    <w:top w:w="72" w:type="dxa"/>
                    <w:left w:w="144" w:type="dxa"/>
                    <w:bottom w:w="72" w:type="dxa"/>
                    <w:right w:w="144" w:type="dxa"/>
                  </w:tcMar>
                  <w:vAlign w:val="center"/>
                </w:tcPr>
                <w:p>
                  <w:pPr>
                    <w:jc w:val="center"/>
                    <w:rPr>
                      <w:rFonts w:ascii="Arial" w:hAnsi="Arial" w:cs="Arial"/>
                      <w:b/>
                      <w:sz w:val="21"/>
                      <w:szCs w:val="21"/>
                    </w:rPr>
                  </w:pPr>
                  <w:r>
                    <w:rPr>
                      <w:rFonts w:ascii="Times New Roman" w:hAnsi="Times New Roman" w:cs="Times New Roman"/>
                      <w:b/>
                      <w:color w:val="000000"/>
                      <w:kern w:val="24"/>
                      <w:sz w:val="21"/>
                      <w:szCs w:val="21"/>
                    </w:rPr>
                    <w:t>171</w:t>
                  </w:r>
                </w:p>
              </w:tc>
            </w:tr>
            <w:tr>
              <w:tblPrEx>
                <w:tblCellMar>
                  <w:top w:w="0" w:type="dxa"/>
                  <w:left w:w="0" w:type="dxa"/>
                  <w:bottom w:w="0" w:type="dxa"/>
                  <w:right w:w="0" w:type="dxa"/>
                </w:tblCellMar>
              </w:tblPrEx>
              <w:trPr>
                <w:trHeight w:val="170" w:hRule="atLeast"/>
                <w:jc w:val="center"/>
              </w:trPr>
              <w:tc>
                <w:tcPr>
                  <w:tcW w:w="2494" w:type="dxa"/>
                  <w:tcBorders>
                    <w:top w:val="nil"/>
                    <w:left w:val="nil"/>
                    <w:bottom w:val="single" w:color="000000" w:sz="8" w:space="0"/>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hint="eastAsia" w:ascii="Times New Roman" w:cs="Times New Roman"/>
                      <w:color w:val="000000"/>
                      <w:kern w:val="24"/>
                      <w:sz w:val="21"/>
                      <w:szCs w:val="21"/>
                    </w:rPr>
                    <w:t>芦山地震</w:t>
                  </w:r>
                </w:p>
              </w:tc>
              <w:tc>
                <w:tcPr>
                  <w:tcW w:w="1474" w:type="dxa"/>
                  <w:tcBorders>
                    <w:top w:val="nil"/>
                    <w:left w:val="nil"/>
                    <w:bottom w:val="single" w:color="000000" w:sz="8" w:space="0"/>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ascii="Times New Roman" w:hAnsi="Times New Roman" w:cs="Times New Roman"/>
                      <w:color w:val="000000"/>
                      <w:kern w:val="24"/>
                      <w:sz w:val="21"/>
                      <w:szCs w:val="21"/>
                    </w:rPr>
                    <w:t>2013.04</w:t>
                  </w:r>
                </w:p>
              </w:tc>
              <w:tc>
                <w:tcPr>
                  <w:tcW w:w="1701" w:type="dxa"/>
                  <w:tcBorders>
                    <w:top w:val="nil"/>
                    <w:left w:val="nil"/>
                    <w:bottom w:val="single" w:color="000000" w:sz="8" w:space="0"/>
                    <w:right w:val="nil"/>
                  </w:tcBorders>
                  <w:shd w:val="clear" w:color="auto" w:fill="FFFFFF"/>
                  <w:tcMar>
                    <w:top w:w="72" w:type="dxa"/>
                    <w:left w:w="144" w:type="dxa"/>
                    <w:bottom w:w="72" w:type="dxa"/>
                    <w:right w:w="144" w:type="dxa"/>
                  </w:tcMar>
                  <w:vAlign w:val="center"/>
                </w:tcPr>
                <w:p>
                  <w:pPr>
                    <w:jc w:val="center"/>
                    <w:rPr>
                      <w:rFonts w:ascii="Arial" w:hAnsi="Arial" w:cs="Arial"/>
                      <w:sz w:val="21"/>
                      <w:szCs w:val="21"/>
                    </w:rPr>
                  </w:pPr>
                  <w:r>
                    <w:rPr>
                      <w:rFonts w:ascii="Times New Roman" w:hAnsi="Times New Roman" w:cs="Times New Roman"/>
                      <w:color w:val="000000"/>
                      <w:kern w:val="24"/>
                      <w:sz w:val="21"/>
                      <w:szCs w:val="21"/>
                    </w:rPr>
                    <w:t>7.0</w:t>
                  </w:r>
                </w:p>
              </w:tc>
              <w:tc>
                <w:tcPr>
                  <w:tcW w:w="2381" w:type="dxa"/>
                  <w:tcBorders>
                    <w:top w:val="nil"/>
                    <w:left w:val="nil"/>
                    <w:bottom w:val="single" w:color="000000" w:sz="8" w:space="0"/>
                    <w:right w:val="nil"/>
                  </w:tcBorders>
                  <w:shd w:val="clear" w:color="auto" w:fill="FFFFFF"/>
                  <w:tcMar>
                    <w:top w:w="72" w:type="dxa"/>
                    <w:left w:w="144" w:type="dxa"/>
                    <w:bottom w:w="72" w:type="dxa"/>
                    <w:right w:w="144" w:type="dxa"/>
                  </w:tcMar>
                  <w:vAlign w:val="center"/>
                </w:tcPr>
                <w:p>
                  <w:pPr>
                    <w:jc w:val="center"/>
                    <w:rPr>
                      <w:rFonts w:ascii="Arial" w:hAnsi="Arial" w:cs="Arial"/>
                      <w:b/>
                      <w:sz w:val="21"/>
                      <w:szCs w:val="21"/>
                    </w:rPr>
                  </w:pPr>
                  <w:r>
                    <w:rPr>
                      <w:rFonts w:ascii="Times New Roman" w:hAnsi="Times New Roman" w:cs="Times New Roman"/>
                      <w:b/>
                      <w:color w:val="000000"/>
                      <w:kern w:val="24"/>
                      <w:sz w:val="21"/>
                      <w:szCs w:val="21"/>
                    </w:rPr>
                    <w:t>34</w:t>
                  </w:r>
                </w:p>
              </w:tc>
            </w:tr>
            <w:bookmarkEnd w:id="3"/>
          </w:tbl>
          <w:p>
            <w:pPr>
              <w:widowControl w:val="0"/>
              <w:spacing w:line="400" w:lineRule="exact"/>
              <w:ind w:firstLine="480" w:firstLineChars="200"/>
              <w:jc w:val="both"/>
              <w:rPr>
                <w:rFonts w:ascii="Times New Roman" w:hAnsi="Times New Roman" w:cs="Times New Roman"/>
                <w:kern w:val="2"/>
                <w:szCs w:val="22"/>
              </w:rPr>
            </w:pPr>
            <w:r>
              <w:rPr>
                <w:rFonts w:hint="eastAsia" w:ascii="Times New Roman" w:hAnsi="Times New Roman" w:cs="Times New Roman"/>
                <w:kern w:val="2"/>
                <w:szCs w:val="22"/>
              </w:rPr>
              <w:t>近些年来，无人机及其相关的检测技术已被广泛应用于电力巡检、农业、测绘和自然灾害防治等领域。虽然这些应用也涉及到无人机自主导航、定位和图像处理等技术，但现有技术无法直接应用于变电站震后损毁检测。变电站震后损毁检测对无人机自主导航定位的精度、图像识别算法的鲁棒性和检测内容提出了更高的要求（如图1所示）。因此，本项目研究成果也将进一步推动无人机拓展其应用领域，具有明显的技术价值和社会意义。</w:t>
            </w:r>
          </w:p>
          <w:p>
            <w:pPr>
              <w:widowControl w:val="0"/>
              <w:spacing w:line="360" w:lineRule="auto"/>
              <w:jc w:val="center"/>
              <w:rPr>
                <w:rFonts w:ascii="Times New Roman" w:hAnsi="Times New Roman" w:cs="Times New Roman"/>
                <w:kern w:val="2"/>
                <w:szCs w:val="22"/>
              </w:rPr>
            </w:pPr>
            <w:r>
              <w:rPr>
                <w:rFonts w:ascii="Times New Roman" w:hAnsi="Times New Roman" w:cs="Times New Roman"/>
                <w:kern w:val="2"/>
                <w:szCs w:val="22"/>
              </w:rPr>
              <w:drawing>
                <wp:inline distT="0" distB="0" distL="0" distR="0">
                  <wp:extent cx="4035425" cy="2407920"/>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042388" cy="2412034"/>
                          </a:xfrm>
                          <a:prstGeom prst="rect">
                            <a:avLst/>
                          </a:prstGeom>
                          <a:noFill/>
                          <a:ln>
                            <a:noFill/>
                          </a:ln>
                        </pic:spPr>
                      </pic:pic>
                    </a:graphicData>
                  </a:graphic>
                </wp:inline>
              </w:drawing>
            </w:r>
          </w:p>
          <w:p>
            <w:pPr>
              <w:pStyle w:val="81"/>
              <w:spacing w:line="240" w:lineRule="auto"/>
            </w:pPr>
            <w:r>
              <w:rPr>
                <w:rFonts w:ascii="Times New Roman" w:hAnsi="Times New Roman" w:cs="Times New Roman"/>
              </w:rPr>
              <w:t>图1 震后损毁</w:t>
            </w:r>
            <w:r>
              <w:rPr>
                <w:rFonts w:hint="eastAsia"/>
              </w:rPr>
              <w:t>评估面临的难题</w:t>
            </w:r>
          </w:p>
          <w:p>
            <w:pPr>
              <w:spacing w:before="120" w:after="240"/>
              <w:rPr>
                <w:rFonts w:ascii="Times New Roman" w:hAnsi="Times New Roman"/>
                <w:b/>
                <w:color w:val="000000"/>
              </w:rPr>
            </w:pPr>
            <w:r>
              <w:rPr>
                <w:rFonts w:hint="eastAsia" w:ascii="Times New Roman" w:hAnsi="Times New Roman"/>
                <w:b/>
                <w:color w:val="000000"/>
              </w:rPr>
              <w:t>1.2 国内外研究现状</w:t>
            </w:r>
          </w:p>
          <w:p>
            <w:pPr>
              <w:widowControl w:val="0"/>
              <w:spacing w:line="400" w:lineRule="exact"/>
              <w:ind w:firstLine="480" w:firstLineChars="200"/>
              <w:jc w:val="both"/>
              <w:rPr>
                <w:rFonts w:ascii="Times New Roman" w:hAnsi="Times New Roman" w:cs="Times New Roman"/>
                <w:kern w:val="2"/>
                <w:szCs w:val="22"/>
              </w:rPr>
            </w:pPr>
            <w:r>
              <w:rPr>
                <w:rFonts w:hint="eastAsia" w:ascii="Times New Roman" w:hAnsi="Times New Roman" w:cs="Times New Roman"/>
                <w:kern w:val="2"/>
                <w:szCs w:val="22"/>
              </w:rPr>
              <w:t>针对震后抢险救灾而言，变电站震后损毁检测是变电站紧急投运的主要技术依据。震后损毁检测主要是指变电站设备的外观检测，检测对象大致可以分为设备破损、姿态变化（主要是倾斜、移位）、裂痕和漏油四类。目前这些检测均由人工肉眼或手持简易测量工具完成。例如一个</w:t>
            </w:r>
            <w:r>
              <w:rPr>
                <w:rFonts w:ascii="Times New Roman" w:hAnsi="Times New Roman" w:cs="Times New Roman"/>
                <w:kern w:val="2"/>
                <w:szCs w:val="22"/>
              </w:rPr>
              <w:t>500kV电压等级的变电站，由于震后交通阻断等原因，大致需要4-6人</w:t>
            </w:r>
            <w:r>
              <w:rPr>
                <w:rFonts w:hint="eastAsia" w:ascii="Times New Roman" w:hAnsi="Times New Roman" w:cs="Times New Roman"/>
                <w:kern w:val="2"/>
                <w:szCs w:val="22"/>
              </w:rPr>
              <w:t>、</w:t>
            </w:r>
            <w:r>
              <w:rPr>
                <w:rFonts w:ascii="Times New Roman" w:hAnsi="Times New Roman" w:cs="Times New Roman"/>
                <w:kern w:val="2"/>
                <w:szCs w:val="22"/>
              </w:rPr>
              <w:t>花费2-3天的时间才能获得变电站的损毁评估报告，</w:t>
            </w:r>
            <w:r>
              <w:rPr>
                <w:rFonts w:hint="eastAsia" w:ascii="Times New Roman" w:hAnsi="Times New Roman" w:cs="Times New Roman"/>
                <w:kern w:val="2"/>
                <w:szCs w:val="22"/>
              </w:rPr>
              <w:t>这</w:t>
            </w:r>
            <w:r>
              <w:rPr>
                <w:rFonts w:ascii="Times New Roman" w:hAnsi="Times New Roman" w:cs="Times New Roman"/>
                <w:kern w:val="2"/>
                <w:szCs w:val="22"/>
              </w:rPr>
              <w:t>成为严重</w:t>
            </w:r>
            <w:r>
              <w:rPr>
                <w:rFonts w:hint="eastAsia" w:ascii="Times New Roman" w:hAnsi="Times New Roman" w:cs="Times New Roman"/>
                <w:kern w:val="2"/>
                <w:szCs w:val="22"/>
              </w:rPr>
              <w:t>制约</w:t>
            </w:r>
            <w:r>
              <w:rPr>
                <w:rFonts w:ascii="Times New Roman" w:hAnsi="Times New Roman" w:cs="Times New Roman"/>
                <w:kern w:val="2"/>
                <w:szCs w:val="22"/>
              </w:rPr>
              <w:t>电力系统抢险救灾速度的</w:t>
            </w:r>
            <w:r>
              <w:rPr>
                <w:rFonts w:hint="eastAsia" w:ascii="Times New Roman" w:hAnsi="Times New Roman" w:cs="Times New Roman"/>
                <w:kern w:val="2"/>
                <w:szCs w:val="22"/>
              </w:rPr>
              <w:t>瓶颈</w:t>
            </w:r>
            <w:r>
              <w:rPr>
                <w:rFonts w:ascii="Times New Roman" w:hAnsi="Times New Roman" w:cs="Times New Roman"/>
                <w:kern w:val="2"/>
                <w:szCs w:val="22"/>
              </w:rPr>
              <w:t>。无人机</w:t>
            </w:r>
            <w:r>
              <w:rPr>
                <w:rFonts w:hint="eastAsia" w:ascii="Times New Roman" w:hAnsi="Times New Roman" w:cs="Times New Roman"/>
                <w:kern w:val="2"/>
                <w:szCs w:val="22"/>
              </w:rPr>
              <w:t>不存在</w:t>
            </w:r>
            <w:r>
              <w:rPr>
                <w:rFonts w:ascii="Times New Roman" w:hAnsi="Times New Roman" w:cs="Times New Roman"/>
                <w:kern w:val="2"/>
                <w:szCs w:val="22"/>
              </w:rPr>
              <w:t>交通阻断</w:t>
            </w:r>
            <w:r>
              <w:rPr>
                <w:rFonts w:hint="eastAsia" w:ascii="Times New Roman" w:hAnsi="Times New Roman" w:cs="Times New Roman"/>
                <w:kern w:val="2"/>
                <w:szCs w:val="22"/>
              </w:rPr>
              <w:t>的问题</w:t>
            </w:r>
            <w:r>
              <w:rPr>
                <w:rFonts w:ascii="Times New Roman" w:hAnsi="Times New Roman" w:cs="Times New Roman"/>
                <w:kern w:val="2"/>
                <w:szCs w:val="22"/>
              </w:rPr>
              <w:t>，</w:t>
            </w:r>
            <w:r>
              <w:rPr>
                <w:rFonts w:hint="eastAsia" w:ascii="Times New Roman" w:hAnsi="Times New Roman" w:cs="Times New Roman"/>
                <w:kern w:val="2"/>
                <w:szCs w:val="22"/>
              </w:rPr>
              <w:t>也应用于电力线路巡检中，</w:t>
            </w:r>
            <w:r>
              <w:rPr>
                <w:rFonts w:ascii="Times New Roman" w:hAnsi="Times New Roman" w:cs="Times New Roman"/>
                <w:kern w:val="2"/>
                <w:szCs w:val="22"/>
              </w:rPr>
              <w:t>但</w:t>
            </w:r>
            <w:r>
              <w:rPr>
                <w:rFonts w:hint="eastAsia" w:ascii="Times New Roman" w:hAnsi="Times New Roman" w:cs="Times New Roman"/>
                <w:kern w:val="2"/>
                <w:szCs w:val="22"/>
              </w:rPr>
              <w:t>这些</w:t>
            </w:r>
            <w:r>
              <w:rPr>
                <w:rFonts w:hint="eastAsia" w:ascii="Times New Roman" w:hAnsi="Times New Roman" w:cs="Times New Roman"/>
                <w:b/>
                <w:kern w:val="2"/>
                <w:szCs w:val="22"/>
                <w:u w:val="single"/>
              </w:rPr>
              <w:t>常用巡检技术不足以支撑</w:t>
            </w:r>
            <w:r>
              <w:rPr>
                <w:rFonts w:ascii="Times New Roman" w:hAnsi="Times New Roman" w:cs="Times New Roman"/>
                <w:b/>
                <w:kern w:val="2"/>
                <w:szCs w:val="22"/>
                <w:u w:val="single"/>
              </w:rPr>
              <w:t>变电站</w:t>
            </w:r>
            <w:r>
              <w:rPr>
                <w:rFonts w:hint="eastAsia" w:ascii="Times New Roman" w:hAnsi="Times New Roman" w:cs="Times New Roman"/>
                <w:b/>
                <w:kern w:val="2"/>
                <w:szCs w:val="22"/>
                <w:u w:val="single"/>
              </w:rPr>
              <w:t>的震后</w:t>
            </w:r>
            <w:r>
              <w:rPr>
                <w:rFonts w:ascii="Times New Roman" w:hAnsi="Times New Roman" w:cs="Times New Roman"/>
                <w:b/>
                <w:kern w:val="2"/>
                <w:szCs w:val="22"/>
                <w:u w:val="single"/>
              </w:rPr>
              <w:t>损毁</w:t>
            </w:r>
            <w:r>
              <w:rPr>
                <w:rFonts w:hint="eastAsia" w:ascii="Times New Roman" w:hAnsi="Times New Roman" w:cs="Times New Roman"/>
                <w:b/>
                <w:kern w:val="2"/>
                <w:szCs w:val="22"/>
                <w:u w:val="single"/>
              </w:rPr>
              <w:t>检测</w:t>
            </w:r>
            <w:r>
              <w:rPr>
                <w:rFonts w:hint="eastAsia" w:ascii="Times New Roman" w:hAnsi="Times New Roman" w:cs="Times New Roman"/>
                <w:kern w:val="2"/>
                <w:szCs w:val="22"/>
              </w:rPr>
              <w:t>。下面从无人机定位</w:t>
            </w:r>
            <w:r>
              <w:rPr>
                <w:rFonts w:ascii="Times New Roman" w:hAnsi="Times New Roman" w:cs="Times New Roman"/>
                <w:kern w:val="2"/>
                <w:szCs w:val="22"/>
              </w:rPr>
              <w:t>导航和</w:t>
            </w:r>
            <w:r>
              <w:rPr>
                <w:rFonts w:hint="eastAsia" w:ascii="Times New Roman" w:hAnsi="Times New Roman" w:cs="Times New Roman"/>
                <w:kern w:val="2"/>
                <w:szCs w:val="22"/>
              </w:rPr>
              <w:t>实时避障精度、无人机巡检图像处理算法鲁棒性、变电站震后损毁检测内容三个角度给出原因。</w:t>
            </w:r>
          </w:p>
          <w:p>
            <w:pPr>
              <w:widowControl w:val="0"/>
              <w:spacing w:line="400" w:lineRule="exact"/>
              <w:ind w:firstLine="482" w:firstLineChars="200"/>
              <w:jc w:val="both"/>
              <w:rPr>
                <w:rFonts w:ascii="Times New Roman" w:hAnsi="Times New Roman" w:cs="Times New Roman"/>
                <w:kern w:val="2"/>
                <w:szCs w:val="22"/>
              </w:rPr>
            </w:pPr>
            <w:r>
              <w:rPr>
                <w:rFonts w:hint="eastAsia" w:ascii="Times New Roman" w:hAnsi="Times New Roman" w:cs="Times New Roman"/>
                <w:b/>
                <w:kern w:val="2"/>
                <w:szCs w:val="22"/>
              </w:rPr>
              <w:t>（1）</w:t>
            </w:r>
            <w:r>
              <w:rPr>
                <w:rFonts w:ascii="Times New Roman" w:hAnsi="Times New Roman" w:cs="Times New Roman"/>
                <w:b/>
                <w:kern w:val="2"/>
                <w:szCs w:val="22"/>
              </w:rPr>
              <w:t>自主导航和实时避障是无人机自主巡检的</w:t>
            </w:r>
            <w:r>
              <w:rPr>
                <w:rFonts w:hint="eastAsia" w:ascii="Times New Roman" w:hAnsi="Times New Roman" w:cs="Times New Roman"/>
                <w:b/>
                <w:kern w:val="2"/>
                <w:szCs w:val="22"/>
              </w:rPr>
              <w:t>基础</w:t>
            </w:r>
            <w:r>
              <w:rPr>
                <w:rFonts w:ascii="Times New Roman" w:hAnsi="Times New Roman" w:cs="Times New Roman"/>
                <w:b/>
                <w:kern w:val="2"/>
                <w:szCs w:val="22"/>
              </w:rPr>
              <w:t>。</w:t>
            </w:r>
            <w:r>
              <w:rPr>
                <w:rFonts w:ascii="Times New Roman" w:hAnsi="Times New Roman" w:cs="Times New Roman"/>
                <w:kern w:val="2"/>
                <w:szCs w:val="22"/>
              </w:rPr>
              <w:t>变电站震后损毁</w:t>
            </w:r>
            <w:r>
              <w:rPr>
                <w:rFonts w:hint="eastAsia" w:ascii="Times New Roman" w:hAnsi="Times New Roman" w:cs="Times New Roman"/>
                <w:kern w:val="2"/>
                <w:szCs w:val="22"/>
              </w:rPr>
              <w:t>检测内容中包含大量的柱状绝缘套管裂痕的视觉检测，要求搭载视觉系统的无人机定位精度在分米级。目前，用于输电线路巡检的</w:t>
            </w:r>
            <w:r>
              <w:rPr>
                <w:rFonts w:ascii="Times New Roman" w:hAnsi="Times New Roman" w:cs="Times New Roman"/>
                <w:kern w:val="2"/>
                <w:szCs w:val="22"/>
              </w:rPr>
              <w:t>无人机导航避障技术</w:t>
            </w:r>
            <w:r>
              <w:rPr>
                <w:rFonts w:hint="eastAsia" w:ascii="Times New Roman" w:hAnsi="Times New Roman" w:cs="Times New Roman"/>
                <w:kern w:val="2"/>
                <w:szCs w:val="22"/>
              </w:rPr>
              <w:t>可以分为三类：</w:t>
            </w:r>
            <w:r>
              <w:rPr>
                <w:rFonts w:ascii="Times New Roman" w:hAnsi="Times New Roman" w:cs="Times New Roman"/>
                <w:kern w:val="2"/>
                <w:szCs w:val="22"/>
              </w:rPr>
              <w:t>基于</w:t>
            </w:r>
            <w:r>
              <w:rPr>
                <w:rFonts w:hint="eastAsia" w:ascii="Times New Roman" w:hAnsi="Times New Roman" w:cs="Times New Roman"/>
                <w:kern w:val="2"/>
                <w:szCs w:val="22"/>
              </w:rPr>
              <w:t>全球定位系统</w:t>
            </w:r>
            <w:r>
              <w:rPr>
                <w:rFonts w:ascii="Times New Roman" w:hAnsi="Times New Roman" w:cs="Times New Roman"/>
                <w:kern w:val="2"/>
                <w:szCs w:val="22"/>
              </w:rPr>
              <w:t>/惯性导航系统(Global Positioning System，GPS</w:t>
            </w:r>
            <w:r>
              <w:rPr>
                <w:rFonts w:hint="eastAsia" w:ascii="Times New Roman" w:hAnsi="Times New Roman" w:cs="Times New Roman"/>
                <w:kern w:val="2"/>
                <w:szCs w:val="22"/>
              </w:rPr>
              <w:t>/</w:t>
            </w:r>
            <w:r>
              <w:rPr>
                <w:rFonts w:ascii="Times New Roman" w:hAnsi="Times New Roman" w:cs="Times New Roman"/>
                <w:kern w:val="2"/>
                <w:szCs w:val="22"/>
              </w:rPr>
              <w:t xml:space="preserve"> Inertial Navigation System</w:t>
            </w:r>
            <w:r>
              <w:rPr>
                <w:rFonts w:hint="eastAsia" w:ascii="Times New Roman" w:hAnsi="Times New Roman" w:cs="Times New Roman"/>
                <w:kern w:val="2"/>
                <w:szCs w:val="22"/>
              </w:rPr>
              <w:t>，</w:t>
            </w:r>
            <w:r>
              <w:rPr>
                <w:rFonts w:ascii="Times New Roman" w:hAnsi="Times New Roman" w:cs="Times New Roman"/>
                <w:kern w:val="2"/>
                <w:szCs w:val="22"/>
              </w:rPr>
              <w:t>INS)</w:t>
            </w:r>
            <w:r>
              <w:rPr>
                <w:rFonts w:ascii="Times New Roman" w:hAnsi="Times New Roman" w:cs="Times New Roman"/>
                <w:kern w:val="2"/>
                <w:szCs w:val="22"/>
                <w:vertAlign w:val="superscript"/>
              </w:rPr>
              <w:t>[3,4]</w:t>
            </w:r>
            <w:r>
              <w:rPr>
                <w:rFonts w:hint="eastAsia" w:ascii="Times New Roman" w:hAnsi="Times New Roman" w:cs="Times New Roman"/>
                <w:kern w:val="2"/>
                <w:szCs w:val="22"/>
              </w:rPr>
              <w:t>、激光雷达（L</w:t>
            </w:r>
            <w:r>
              <w:rPr>
                <w:rFonts w:ascii="Times New Roman" w:hAnsi="Times New Roman" w:cs="Times New Roman"/>
                <w:kern w:val="2"/>
                <w:szCs w:val="22"/>
              </w:rPr>
              <w:t>iDAR</w:t>
            </w:r>
            <w:r>
              <w:rPr>
                <w:rFonts w:hint="eastAsia" w:ascii="Times New Roman" w:hAnsi="Times New Roman" w:cs="Times New Roman"/>
                <w:kern w:val="2"/>
                <w:szCs w:val="22"/>
              </w:rPr>
              <w:t>）</w:t>
            </w:r>
            <w:r>
              <w:rPr>
                <w:rFonts w:hint="eastAsia" w:ascii="Times New Roman" w:hAnsi="Times New Roman" w:cs="Times New Roman"/>
                <w:kern w:val="2"/>
                <w:szCs w:val="22"/>
                <w:vertAlign w:val="superscript"/>
              </w:rPr>
              <w:t>[</w:t>
            </w:r>
            <w:r>
              <w:rPr>
                <w:rFonts w:ascii="Times New Roman" w:hAnsi="Times New Roman" w:cs="Times New Roman"/>
                <w:kern w:val="2"/>
                <w:szCs w:val="22"/>
                <w:vertAlign w:val="superscript"/>
              </w:rPr>
              <w:t>5]</w:t>
            </w:r>
            <w:r>
              <w:rPr>
                <w:rFonts w:hint="eastAsia" w:ascii="Times New Roman" w:hAnsi="Times New Roman" w:cs="Times New Roman"/>
                <w:kern w:val="2"/>
                <w:szCs w:val="22"/>
              </w:rPr>
              <w:t>、</w:t>
            </w:r>
            <w:r>
              <w:rPr>
                <w:rFonts w:ascii="Times New Roman" w:hAnsi="Times New Roman" w:cs="Times New Roman"/>
                <w:kern w:val="2"/>
                <w:szCs w:val="22"/>
              </w:rPr>
              <w:t>实时动态高精度定位</w:t>
            </w:r>
            <w:bookmarkStart w:id="4" w:name="OLE_LINK26"/>
            <w:r>
              <w:rPr>
                <w:rFonts w:hint="eastAsia" w:ascii="Times New Roman" w:hAnsi="Times New Roman" w:cs="Times New Roman"/>
                <w:kern w:val="2"/>
                <w:szCs w:val="22"/>
              </w:rPr>
              <w:t>（</w:t>
            </w:r>
            <w:r>
              <w:rPr>
                <w:rFonts w:ascii="Times New Roman" w:hAnsi="Times New Roman" w:cs="Times New Roman"/>
              </w:rPr>
              <w:t>Real Time Kinematic</w:t>
            </w:r>
            <w:r>
              <w:rPr>
                <w:rFonts w:ascii="Times New Roman" w:hAnsi="Times New Roman" w:cs="Times New Roman"/>
                <w:kern w:val="2"/>
                <w:szCs w:val="22"/>
              </w:rPr>
              <w:t>，RTK</w:t>
            </w:r>
            <w:bookmarkEnd w:id="4"/>
            <w:r>
              <w:rPr>
                <w:rFonts w:hint="eastAsia" w:ascii="Times New Roman" w:hAnsi="Times New Roman" w:cs="Times New Roman"/>
                <w:kern w:val="2"/>
                <w:szCs w:val="22"/>
              </w:rPr>
              <w:t>）</w:t>
            </w:r>
            <w:r>
              <w:rPr>
                <w:rFonts w:ascii="Times New Roman" w:hAnsi="Times New Roman" w:cs="Times New Roman"/>
                <w:kern w:val="2"/>
                <w:szCs w:val="22"/>
              </w:rPr>
              <w:t>技术</w:t>
            </w:r>
            <w:r>
              <w:rPr>
                <w:rFonts w:ascii="Times New Roman" w:hAnsi="Times New Roman" w:cs="Times New Roman"/>
                <w:kern w:val="2"/>
                <w:szCs w:val="22"/>
                <w:vertAlign w:val="superscript"/>
              </w:rPr>
              <w:t>[6]</w:t>
            </w:r>
            <w:r>
              <w:rPr>
                <w:rFonts w:hint="eastAsia" w:ascii="Times New Roman" w:hAnsi="Times New Roman" w:cs="Times New Roman"/>
                <w:kern w:val="2"/>
                <w:szCs w:val="22"/>
              </w:rPr>
              <w:t>。</w:t>
            </w:r>
            <w:r>
              <w:rPr>
                <w:rFonts w:ascii="Times New Roman" w:hAnsi="Times New Roman" w:cs="Times New Roman"/>
                <w:kern w:val="2"/>
                <w:szCs w:val="22"/>
              </w:rPr>
              <w:t>文献</w:t>
            </w:r>
            <w:r>
              <w:rPr>
                <w:rFonts w:hint="eastAsia" w:ascii="Times New Roman" w:hAnsi="Times New Roman" w:cs="Times New Roman"/>
                <w:kern w:val="2"/>
                <w:szCs w:val="22"/>
              </w:rPr>
              <w:t>[</w:t>
            </w:r>
            <w:r>
              <w:rPr>
                <w:rFonts w:ascii="Times New Roman" w:hAnsi="Times New Roman" w:cs="Times New Roman"/>
                <w:kern w:val="2"/>
                <w:szCs w:val="22"/>
              </w:rPr>
              <w:t>6]采用</w:t>
            </w:r>
            <w:r>
              <w:rPr>
                <w:rFonts w:hint="eastAsia" w:ascii="Times New Roman" w:hAnsi="Times New Roman" w:cs="Times New Roman"/>
                <w:kern w:val="2"/>
                <w:szCs w:val="22"/>
              </w:rPr>
              <w:t>单频G</w:t>
            </w:r>
            <w:r>
              <w:rPr>
                <w:rFonts w:ascii="Times New Roman" w:hAnsi="Times New Roman" w:cs="Times New Roman"/>
                <w:kern w:val="2"/>
                <w:szCs w:val="22"/>
              </w:rPr>
              <w:t>PS</w:t>
            </w:r>
            <w:r>
              <w:rPr>
                <w:rFonts w:hint="eastAsia" w:ascii="Times New Roman" w:hAnsi="Times New Roman" w:cs="Times New Roman"/>
                <w:kern w:val="2"/>
                <w:szCs w:val="22"/>
              </w:rPr>
              <w:t>和嵌入式机载相机传感器，研制了</w:t>
            </w:r>
            <w:r>
              <w:rPr>
                <w:rFonts w:ascii="Times New Roman" w:hAnsi="Times New Roman" w:cs="Times New Roman"/>
                <w:kern w:val="2"/>
                <w:szCs w:val="22"/>
              </w:rPr>
              <w:t>使用GPS测量相机姿态的集成定位传感器，</w:t>
            </w:r>
            <w:r>
              <w:rPr>
                <w:rFonts w:hint="eastAsia" w:ascii="Times New Roman" w:hAnsi="Times New Roman" w:cs="Times New Roman"/>
                <w:kern w:val="2"/>
                <w:szCs w:val="22"/>
              </w:rPr>
              <w:t>精度可达几厘米。但该方法对相机要求较高，在初始化时要对传感器进行繁琐的校准工作，且有效航程仅有数十米，局限性较大。通常，单独采用</w:t>
            </w:r>
            <w:r>
              <w:rPr>
                <w:rFonts w:ascii="Times New Roman" w:hAnsi="Times New Roman" w:cs="Times New Roman"/>
                <w:kern w:val="2"/>
                <w:szCs w:val="22"/>
              </w:rPr>
              <w:t>GPS/INS的导航定位精度在</w:t>
            </w:r>
            <w:r>
              <w:rPr>
                <w:rFonts w:hint="eastAsia" w:ascii="Times New Roman" w:hAnsi="Times New Roman" w:cs="Times New Roman"/>
                <w:kern w:val="2"/>
                <w:szCs w:val="22"/>
              </w:rPr>
              <w:t>米级左右</w:t>
            </w:r>
            <w:r>
              <w:rPr>
                <w:rFonts w:ascii="Times New Roman" w:hAnsi="Times New Roman" w:cs="Times New Roman"/>
                <w:kern w:val="2"/>
                <w:szCs w:val="22"/>
              </w:rPr>
              <w:t>，</w:t>
            </w:r>
            <w:r>
              <w:rPr>
                <w:rFonts w:hint="eastAsia" w:ascii="Times New Roman" w:hAnsi="Times New Roman" w:cs="Times New Roman"/>
                <w:kern w:val="2"/>
                <w:szCs w:val="22"/>
              </w:rPr>
              <w:t>非常依赖卫星信号，在</w:t>
            </w:r>
            <w:r>
              <w:rPr>
                <w:rFonts w:ascii="Times New Roman" w:hAnsi="Times New Roman" w:cs="Times New Roman"/>
                <w:kern w:val="2"/>
                <w:szCs w:val="22"/>
              </w:rPr>
              <w:t>丢失卫星信号时，</w:t>
            </w:r>
            <w:r>
              <w:rPr>
                <w:rFonts w:hint="eastAsia" w:ascii="Times New Roman" w:hAnsi="Times New Roman" w:cs="Times New Roman"/>
                <w:kern w:val="2"/>
                <w:szCs w:val="22"/>
              </w:rPr>
              <w:t>严重影响无人机的定位精度</w:t>
            </w:r>
            <w:r>
              <w:rPr>
                <w:rFonts w:hint="eastAsia" w:ascii="Times New Roman" w:hAnsi="Times New Roman" w:cs="Times New Roman"/>
                <w:kern w:val="2"/>
                <w:szCs w:val="22"/>
                <w:vertAlign w:val="superscript"/>
              </w:rPr>
              <w:t>[</w:t>
            </w:r>
            <w:r>
              <w:rPr>
                <w:rFonts w:ascii="Times New Roman" w:hAnsi="Times New Roman" w:cs="Times New Roman"/>
                <w:kern w:val="2"/>
                <w:szCs w:val="22"/>
                <w:vertAlign w:val="superscript"/>
              </w:rPr>
              <w:t>4]</w:t>
            </w:r>
            <w:r>
              <w:rPr>
                <w:rFonts w:hint="eastAsia" w:ascii="Times New Roman" w:hAnsi="Times New Roman" w:cs="Times New Roman"/>
                <w:kern w:val="2"/>
                <w:szCs w:val="22"/>
              </w:rPr>
              <w:t>。文献</w:t>
            </w:r>
            <w:r>
              <w:rPr>
                <w:rFonts w:ascii="Times New Roman" w:hAnsi="Times New Roman" w:cs="Times New Roman"/>
                <w:kern w:val="2"/>
                <w:szCs w:val="22"/>
              </w:rPr>
              <w:t>[5]在GPS/INS的基础上，引入了</w:t>
            </w:r>
            <w:r>
              <w:rPr>
                <w:rFonts w:hint="eastAsia" w:ascii="Times New Roman" w:hAnsi="Times New Roman" w:cs="Times New Roman"/>
                <w:kern w:val="2"/>
                <w:szCs w:val="22"/>
              </w:rPr>
              <w:t>三维</w:t>
            </w:r>
            <w:r>
              <w:rPr>
                <w:rFonts w:ascii="Times New Roman" w:hAnsi="Times New Roman" w:cs="Times New Roman"/>
                <w:kern w:val="2"/>
                <w:szCs w:val="22"/>
              </w:rPr>
              <w:t>激光雷达</w:t>
            </w:r>
            <w:r>
              <w:rPr>
                <w:rFonts w:hint="eastAsia" w:ascii="Times New Roman" w:hAnsi="Times New Roman" w:cs="Times New Roman"/>
                <w:kern w:val="2"/>
                <w:szCs w:val="22"/>
              </w:rPr>
              <w:t>，提出一种改进迭代最近点算法</w:t>
            </w:r>
            <w:r>
              <w:rPr>
                <w:rStyle w:val="86"/>
                <w:rFonts w:ascii="Times New Roman" w:hAnsi="Times New Roman" w:cs="Times New Roman"/>
              </w:rPr>
              <w:t>（Iterative Closest Point</w:t>
            </w:r>
            <w:r>
              <w:rPr>
                <w:rStyle w:val="86"/>
                <w:rFonts w:hint="eastAsia" w:ascii="Times New Roman" w:hAnsi="Times New Roman" w:cs="Times New Roman"/>
              </w:rPr>
              <w:t>，</w:t>
            </w:r>
            <w:r>
              <w:rPr>
                <w:rStyle w:val="86"/>
                <w:rFonts w:ascii="Times New Roman" w:hAnsi="Times New Roman" w:cs="Times New Roman"/>
              </w:rPr>
              <w:t>ICP）</w:t>
            </w:r>
            <w:r>
              <w:rPr>
                <w:rFonts w:hint="eastAsia" w:ascii="Times New Roman" w:hAnsi="Times New Roman" w:cs="Times New Roman"/>
                <w:kern w:val="2"/>
                <w:szCs w:val="22"/>
              </w:rPr>
              <w:t>来解决稀疏非均匀点云中的配准问题，实现分米级</w:t>
            </w:r>
            <w:r>
              <w:rPr>
                <w:rFonts w:ascii="Times New Roman" w:hAnsi="Times New Roman" w:cs="Times New Roman"/>
                <w:kern w:val="2"/>
                <w:szCs w:val="22"/>
              </w:rPr>
              <w:t>定位</w:t>
            </w:r>
            <w:r>
              <w:rPr>
                <w:rFonts w:hint="eastAsia" w:ascii="Times New Roman" w:hAnsi="Times New Roman" w:cs="Times New Roman"/>
                <w:kern w:val="2"/>
                <w:szCs w:val="22"/>
              </w:rPr>
              <w:t>，完成对桥梁进行重构。但是这种定位导航的方式离不开</w:t>
            </w:r>
            <w:r>
              <w:rPr>
                <w:rFonts w:ascii="Times New Roman" w:hAnsi="Times New Roman" w:cs="Times New Roman"/>
                <w:kern w:val="2"/>
                <w:szCs w:val="22"/>
              </w:rPr>
              <w:t>GPS/北斗的卫星信号。在我国西南山区，由于山高谷深，相当一部分变电站的卫星信号极其微弱，难以支撑无人机导航定位的功能</w:t>
            </w:r>
            <w:r>
              <w:rPr>
                <w:rFonts w:hint="eastAsia" w:ascii="Times New Roman" w:hAnsi="Times New Roman" w:cs="Times New Roman"/>
                <w:kern w:val="2"/>
                <w:szCs w:val="22"/>
              </w:rPr>
              <w:t>，</w:t>
            </w:r>
            <w:r>
              <w:rPr>
                <w:rFonts w:ascii="Times New Roman" w:hAnsi="Times New Roman" w:cs="Times New Roman"/>
                <w:kern w:val="2"/>
                <w:szCs w:val="22"/>
              </w:rPr>
              <w:t>如果仅仅依靠激光雷达导航定位的话，则同时存在地图绘制等问题。此外，还有基于RTK的定位技术，虽然定位精度可以达到厘米级，但这种技术也离不开卫星信号。</w:t>
            </w:r>
            <w:r>
              <w:rPr>
                <w:rFonts w:hint="eastAsia" w:ascii="Times New Roman" w:hAnsi="Times New Roman" w:cs="Times New Roman"/>
                <w:kern w:val="2"/>
                <w:szCs w:val="22"/>
              </w:rPr>
              <w:t>特别的，</w:t>
            </w:r>
            <w:r>
              <w:rPr>
                <w:rFonts w:ascii="Times New Roman" w:hAnsi="Times New Roman" w:cs="Times New Roman"/>
                <w:kern w:val="2"/>
                <w:szCs w:val="22"/>
              </w:rPr>
              <w:t>变电站中存在大量的</w:t>
            </w:r>
            <w:r>
              <w:rPr>
                <w:rFonts w:hint="eastAsia" w:ascii="Times New Roman" w:hAnsi="Times New Roman" w:cs="Times New Roman"/>
                <w:kern w:val="2"/>
                <w:szCs w:val="22"/>
              </w:rPr>
              <w:t>不同种类</w:t>
            </w:r>
            <w:r>
              <w:rPr>
                <w:rFonts w:ascii="Times New Roman" w:hAnsi="Times New Roman" w:cs="Times New Roman"/>
                <w:kern w:val="2"/>
                <w:szCs w:val="22"/>
              </w:rPr>
              <w:t>设备，无人机在其中绕飞的时候，如何保证无人机和RTK基站之间的通信信号不被遮挡，也是一个极其复杂的问题。因此，现有无人机电力巡线中的定位和导航技术不能直接用于变电站的损毁检测。</w:t>
            </w:r>
          </w:p>
          <w:p>
            <w:pPr>
              <w:pStyle w:val="85"/>
              <w:ind w:firstLine="482"/>
            </w:pPr>
            <w:r>
              <w:rPr>
                <w:rFonts w:hint="eastAsia"/>
                <w:b/>
              </w:rPr>
              <w:t>（</w:t>
            </w:r>
            <w:r>
              <w:rPr>
                <w:b/>
              </w:rPr>
              <w:t>2</w:t>
            </w:r>
            <w:r>
              <w:rPr>
                <w:rFonts w:hint="eastAsia"/>
                <w:b/>
              </w:rPr>
              <w:t>）缺陷检测技术是无人机线路巡检中的关键技术。</w:t>
            </w:r>
            <w:r>
              <w:rPr>
                <w:rFonts w:hint="eastAsia"/>
              </w:rPr>
              <w:t>文献[</w:t>
            </w:r>
            <w:r>
              <w:t>7</w:t>
            </w:r>
            <w:r>
              <w:rPr>
                <w:rFonts w:hint="eastAsia"/>
              </w:rPr>
              <w:t>]提出一种通过颜色和空间特征识别目标所在空间然后对其进行形态学处理进而识别目标损毁情况，但该方法只研究了与目标本身纹路差别较大的裂痕的识别；文献[</w:t>
            </w:r>
            <w:r>
              <w:t>8</w:t>
            </w:r>
            <w:r>
              <w:rPr>
                <w:rFonts w:hint="eastAsia"/>
              </w:rPr>
              <w:t>]提出了一种特征金字塔层次增强网络用于检测路面裂缝。该方法能够较好的解决裂缝像素强度不均匀和裂缝背景相对复杂的问题，但该方法研究的缺陷问题主要是路面缺陷情况，与地震之后变电站设备的复杂缺陷特征差别较大。在识别准确率方面，国家电网于2018年分别进行了多旋翼无人机和直升机电力巡检航拍图像人工智能图像处理技术验证工作，两次技术验证均采用基于深度学习的目标检测算法，检测目标为 8～9 类常见且典型的架空线路缺陷，算法检测的最好成绩为30%～89%，不同类型缺陷的检测成绩有较大差异。同时，柱状设备倾斜测量方面，文献[</w:t>
            </w:r>
            <w:r>
              <w:t>9</w:t>
            </w:r>
            <w:r>
              <w:rPr>
                <w:rFonts w:hint="eastAsia"/>
              </w:rPr>
              <w:t>]提出了一种基于柱状设备结构知识模型和航拍方案相结合的柱状设备姿态倾斜检测算法，但其算法对无人机飞行方案有着严格的要求，并不适合变电站震害局部复杂环境的快速检测。文献[</w:t>
            </w:r>
            <w:r>
              <w:t>10</w:t>
            </w:r>
            <w:r>
              <w:rPr>
                <w:rFonts w:hint="eastAsia"/>
              </w:rPr>
              <w:t>]提出的广域网络柱状倾斜检测技术采用了一种基于ZigBee(紫蜂)通信和倾斜角度传感器的高精度柱状设备倾斜远程监控系统方案，但其系统规模较大，无法满足变电站震害快速检测的需求。</w:t>
            </w:r>
          </w:p>
          <w:p>
            <w:pPr>
              <w:widowControl w:val="0"/>
              <w:spacing w:line="400" w:lineRule="exact"/>
              <w:ind w:firstLine="482" w:firstLineChars="200"/>
              <w:jc w:val="both"/>
              <w:rPr>
                <w:rFonts w:ascii="Times New Roman" w:hAnsi="Times New Roman" w:cs="Times New Roman"/>
                <w:kern w:val="2"/>
                <w:szCs w:val="22"/>
              </w:rPr>
            </w:pPr>
            <w:r>
              <w:rPr>
                <w:rFonts w:hint="eastAsia" w:ascii="Times New Roman" w:hAnsi="Times New Roman" w:cs="Times New Roman"/>
                <w:b/>
                <w:kern w:val="2"/>
                <w:szCs w:val="22"/>
              </w:rPr>
              <w:t>（3）高质量的图像是提高缺陷检测准确率的前提</w:t>
            </w:r>
            <w:r>
              <w:rPr>
                <w:rFonts w:hint="eastAsia" w:ascii="Times New Roman" w:hAnsi="Times New Roman" w:cs="Times New Roman"/>
                <w:kern w:val="2"/>
                <w:szCs w:val="22"/>
              </w:rPr>
              <w:t>。现场光照条件、天气状况和无人机抖动都严重影响图像的质量。变电站震后损毁检测属于紧急检测的范畴，必须考虑所有影响图像质量的因素，这对图像识别算法的鲁棒性提出了更高的要求。目前，针对天气状况，文献[1</w:t>
            </w:r>
            <w:r>
              <w:rPr>
                <w:rFonts w:ascii="Times New Roman" w:hAnsi="Times New Roman" w:cs="Times New Roman"/>
                <w:kern w:val="2"/>
                <w:szCs w:val="22"/>
              </w:rPr>
              <w:t>1</w:t>
            </w:r>
            <w:r>
              <w:rPr>
                <w:rFonts w:hint="eastAsia" w:ascii="Times New Roman" w:hAnsi="Times New Roman" w:cs="Times New Roman"/>
                <w:kern w:val="2"/>
                <w:szCs w:val="22"/>
              </w:rPr>
              <w:t>]提出了一种带有融合鉴别器的生成对抗去雾网络，借助频率信息监督判别器，从而生成更加自然的去雾霾图像；文献[</w:t>
            </w:r>
            <w:r>
              <w:rPr>
                <w:rFonts w:ascii="Times New Roman" w:hAnsi="Times New Roman" w:cs="Times New Roman"/>
                <w:kern w:val="2"/>
                <w:szCs w:val="22"/>
              </w:rPr>
              <w:t>1</w:t>
            </w:r>
            <w:r>
              <w:rPr>
                <w:rFonts w:hint="eastAsia" w:ascii="Times New Roman" w:hAnsi="Times New Roman" w:cs="Times New Roman"/>
                <w:kern w:val="2"/>
                <w:szCs w:val="22"/>
              </w:rPr>
              <w:t>2]提出了用于单图像去雾的多尺度深度神经网络，利用模糊图像与其对应的透射图之间的映射关系实现去雾；文献[</w:t>
            </w:r>
            <w:r>
              <w:rPr>
                <w:rFonts w:ascii="Times New Roman" w:hAnsi="Times New Roman" w:cs="Times New Roman"/>
                <w:kern w:val="2"/>
                <w:szCs w:val="22"/>
              </w:rPr>
              <w:t>1</w:t>
            </w:r>
            <w:r>
              <w:rPr>
                <w:rFonts w:hint="eastAsia" w:ascii="Times New Roman" w:hAnsi="Times New Roman" w:cs="Times New Roman"/>
                <w:kern w:val="2"/>
                <w:szCs w:val="22"/>
              </w:rPr>
              <w:t>3]提出了基于cGAN网络的去雨框架，使用多尺度鉴别器，利用局部信息和全局信息来判断去雨图像的真伪；文献[</w:t>
            </w:r>
            <w:r>
              <w:rPr>
                <w:rFonts w:ascii="Times New Roman" w:hAnsi="Times New Roman" w:cs="Times New Roman"/>
                <w:kern w:val="2"/>
                <w:szCs w:val="22"/>
              </w:rPr>
              <w:t>1</w:t>
            </w:r>
            <w:r>
              <w:rPr>
                <w:rFonts w:hint="eastAsia" w:ascii="Times New Roman" w:hAnsi="Times New Roman" w:cs="Times New Roman"/>
                <w:kern w:val="2"/>
                <w:szCs w:val="22"/>
              </w:rPr>
              <w:t>4]提出了带注意力机制的对抗生成网络解决镜头雨滴附着问题，利用注意力映射图引导生成网络对雨滴区域集中处理。但这些方法都有固定的、单一的应用场景，不适用于天气状况不确定或多种气象情况叠加的震后变电站现场，同时没有考虑弱光照和无人机抖动对图像的影响。针对弱光照条件，文献[</w:t>
            </w:r>
            <w:r>
              <w:rPr>
                <w:rFonts w:ascii="Times New Roman" w:hAnsi="Times New Roman" w:cs="Times New Roman"/>
                <w:kern w:val="2"/>
                <w:szCs w:val="22"/>
              </w:rPr>
              <w:t>1</w:t>
            </w:r>
            <w:r>
              <w:rPr>
                <w:rFonts w:hint="eastAsia" w:ascii="Times New Roman" w:hAnsi="Times New Roman" w:cs="Times New Roman"/>
                <w:kern w:val="2"/>
                <w:szCs w:val="22"/>
              </w:rPr>
              <w:t>5]提出了一种基于深度自动编码器的方法来识别弱光图像中的信号特征，利用堆叠稀疏去噪自编码器对低光照有噪声图像进行增强和去噪；针对动态模糊，文献[</w:t>
            </w:r>
            <w:r>
              <w:rPr>
                <w:rFonts w:ascii="Times New Roman" w:hAnsi="Times New Roman" w:cs="Times New Roman"/>
                <w:kern w:val="2"/>
                <w:szCs w:val="22"/>
              </w:rPr>
              <w:t>1</w:t>
            </w:r>
            <w:r>
              <w:rPr>
                <w:rFonts w:hint="eastAsia" w:ascii="Times New Roman" w:hAnsi="Times New Roman" w:cs="Times New Roman"/>
                <w:kern w:val="2"/>
                <w:szCs w:val="22"/>
              </w:rPr>
              <w:t>6]提出了基于事件的循环卷积神经网络，利用方向性事件滤波算法得到清晰图像。这些方法仅能处理弱光照或动态模糊问题，无法处理天气状况造成的图像退化。变电站震后损毁检测需要能同时处理弱光照、恶劣天气状况及动态模糊的图像处理算法，但目前国内外暂无此方面的研究。</w:t>
            </w:r>
          </w:p>
          <w:p>
            <w:pPr>
              <w:spacing w:before="120" w:after="240"/>
              <w:jc w:val="both"/>
              <w:rPr>
                <w:rFonts w:ascii="Times New Roman" w:hAnsi="Times New Roman"/>
                <w:b/>
                <w:color w:val="000000"/>
              </w:rPr>
            </w:pPr>
            <w:r>
              <w:rPr>
                <w:rFonts w:ascii="Times New Roman" w:hAnsi="Times New Roman"/>
                <w:b/>
                <w:color w:val="000000"/>
              </w:rPr>
              <w:t>1.4知识产权状况分析</w:t>
            </w:r>
          </w:p>
          <w:p>
            <w:pPr>
              <w:widowControl w:val="0"/>
              <w:spacing w:line="400" w:lineRule="exact"/>
              <w:ind w:firstLine="480" w:firstLineChars="200"/>
              <w:jc w:val="both"/>
              <w:rPr>
                <w:rFonts w:ascii="Times New Roman" w:hAnsi="Times New Roman" w:cs="Times New Roman"/>
                <w:color w:val="000000"/>
                <w:kern w:val="2"/>
                <w:szCs w:val="22"/>
              </w:rPr>
            </w:pPr>
            <w:r>
              <w:rPr>
                <w:rFonts w:ascii="Times New Roman" w:hAnsi="Times New Roman" w:cs="Times New Roman"/>
                <w:color w:val="000000"/>
                <w:kern w:val="2"/>
                <w:szCs w:val="22"/>
              </w:rPr>
              <w:t>以国家知识产权局官方网站作为入口，在无人机领域，国内外申请的发明专利6万余件，其中有关</w:t>
            </w:r>
            <w:r>
              <w:rPr>
                <w:rFonts w:hint="eastAsia" w:ascii="Times New Roman" w:hAnsi="Times New Roman" w:cs="Times New Roman"/>
                <w:color w:val="000000"/>
                <w:kern w:val="2"/>
                <w:szCs w:val="22"/>
              </w:rPr>
              <w:t>无人机在变电站中应用</w:t>
            </w:r>
            <w:r>
              <w:rPr>
                <w:rFonts w:ascii="Times New Roman" w:hAnsi="Times New Roman" w:cs="Times New Roman"/>
                <w:color w:val="000000"/>
                <w:kern w:val="2"/>
                <w:szCs w:val="22"/>
              </w:rPr>
              <w:t>的研究共60件</w:t>
            </w:r>
            <w:r>
              <w:rPr>
                <w:rFonts w:hint="eastAsia" w:ascii="Times New Roman" w:hAnsi="Times New Roman" w:cs="Times New Roman"/>
                <w:color w:val="000000"/>
                <w:kern w:val="2"/>
                <w:szCs w:val="22"/>
              </w:rPr>
              <w:t>，</w:t>
            </w:r>
            <w:r>
              <w:rPr>
                <w:rFonts w:ascii="Times New Roman" w:hAnsi="Times New Roman" w:cs="Times New Roman"/>
                <w:color w:val="000000"/>
                <w:kern w:val="2"/>
                <w:szCs w:val="22"/>
              </w:rPr>
              <w:t>其主要创新点集中于对航拍图像的处理和测量装置的改进，</w:t>
            </w:r>
            <w:r>
              <w:rPr>
                <w:rFonts w:hint="eastAsia" w:ascii="Times New Roman" w:hAnsi="Times New Roman" w:cs="Times New Roman"/>
                <w:color w:val="000000"/>
                <w:kern w:val="2"/>
                <w:szCs w:val="22"/>
              </w:rPr>
              <w:t>通过专业操纵人员采集设备图像</w:t>
            </w:r>
            <w:r>
              <w:rPr>
                <w:rFonts w:ascii="Times New Roman" w:hAnsi="Times New Roman" w:cs="Times New Roman"/>
                <w:color w:val="000000"/>
                <w:kern w:val="2"/>
                <w:szCs w:val="22"/>
              </w:rPr>
              <w:t>、对</w:t>
            </w:r>
            <w:r>
              <w:rPr>
                <w:rFonts w:hint="eastAsia" w:ascii="Times New Roman" w:hAnsi="Times New Roman" w:cs="Times New Roman"/>
                <w:color w:val="000000"/>
                <w:kern w:val="2"/>
                <w:szCs w:val="22"/>
              </w:rPr>
              <w:t>设备的状态进行检测</w:t>
            </w:r>
            <w:r>
              <w:rPr>
                <w:rFonts w:ascii="Times New Roman" w:hAnsi="Times New Roman" w:cs="Times New Roman"/>
                <w:color w:val="000000"/>
                <w:kern w:val="2"/>
                <w:szCs w:val="22"/>
              </w:rPr>
              <w:t>。目前，针对</w:t>
            </w:r>
            <w:r>
              <w:rPr>
                <w:rFonts w:hint="eastAsia" w:ascii="Times New Roman" w:hAnsi="Times New Roman" w:cs="Times New Roman"/>
                <w:color w:val="000000"/>
                <w:kern w:val="2"/>
                <w:szCs w:val="22"/>
              </w:rPr>
              <w:t>震后变电站的损毁检测和评估问题，鲜</w:t>
            </w:r>
            <w:r>
              <w:rPr>
                <w:rFonts w:ascii="Times New Roman" w:hAnsi="Times New Roman" w:cs="Times New Roman"/>
                <w:color w:val="000000"/>
                <w:kern w:val="2"/>
                <w:szCs w:val="22"/>
              </w:rPr>
              <w:t>见相应的专利。</w:t>
            </w:r>
          </w:p>
          <w:p>
            <w:pPr>
              <w:spacing w:line="400" w:lineRule="exact"/>
              <w:jc w:val="center"/>
              <w:rPr>
                <w:rFonts w:ascii="Times New Roman" w:hAnsi="Times New Roman"/>
                <w:b/>
                <w:color w:val="000000"/>
              </w:rPr>
            </w:pPr>
            <w:r>
              <w:rPr>
                <w:rFonts w:hint="eastAsia" w:ascii="Times New Roman" w:hAnsi="Times New Roman"/>
                <w:b/>
                <w:color w:val="000000"/>
              </w:rPr>
              <w:t>主要参考文献</w:t>
            </w:r>
          </w:p>
          <w:p>
            <w:pPr>
              <w:widowControl w:val="0"/>
              <w:numPr>
                <w:ilvl w:val="0"/>
                <w:numId w:val="2"/>
              </w:numPr>
              <w:spacing w:line="400" w:lineRule="exact"/>
              <w:jc w:val="both"/>
              <w:rPr>
                <w:rFonts w:ascii="Times New Roman" w:hAnsi="Times New Roman" w:cs="Times New Roman"/>
                <w:bCs/>
                <w:sz w:val="20"/>
                <w:szCs w:val="20"/>
              </w:rPr>
            </w:pPr>
            <w:bookmarkStart w:id="5" w:name="OLE_LINK2"/>
            <w:bookmarkStart w:id="6" w:name="OLE_LINK1"/>
            <w:r>
              <w:rPr>
                <w:rFonts w:ascii="Times New Roman" w:hAnsi="Times New Roman" w:cs="Times New Roman"/>
                <w:bCs/>
                <w:sz w:val="20"/>
                <w:szCs w:val="20"/>
              </w:rPr>
              <w:t>中华人民共和国国民经济和社会发展第十四个五年规划和2035年远景目标纲要</w:t>
            </w:r>
            <w:bookmarkEnd w:id="5"/>
            <w:bookmarkEnd w:id="6"/>
            <w:r>
              <w:rPr>
                <w:rFonts w:ascii="Times New Roman" w:hAnsi="Times New Roman" w:cs="Times New Roman"/>
                <w:bCs/>
                <w:sz w:val="20"/>
                <w:szCs w:val="20"/>
              </w:rPr>
              <w:t>[EB/OB].(2021-03-13) http://www.gov.cn/xinwen/2021-03/13/content_5592681.htm</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王昊昊,罗建裕,徐泰山,等. 中国电网自然灾害防御技术现状调查与分析[J]. 电力系统自动化,2010,34(23):5-10+118.</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吴和龙. 多旋翼无人机的低成本Inertial/GNSS/Vision组合导航关键技术研究[D].</w:t>
            </w:r>
            <w:bookmarkStart w:id="7" w:name="OLE_LINK18"/>
            <w:bookmarkStart w:id="8" w:name="OLE_LINK17"/>
            <w:r>
              <w:rPr>
                <w:rFonts w:ascii="Times New Roman" w:hAnsi="Times New Roman" w:cs="Times New Roman"/>
                <w:bCs/>
                <w:sz w:val="20"/>
                <w:szCs w:val="20"/>
              </w:rPr>
              <w:t>中国科学院大学</w:t>
            </w:r>
            <w:bookmarkEnd w:id="7"/>
            <w:bookmarkEnd w:id="8"/>
            <w:r>
              <w:rPr>
                <w:rFonts w:ascii="Times New Roman" w:hAnsi="Times New Roman" w:cs="Times New Roman"/>
                <w:bCs/>
                <w:sz w:val="20"/>
                <w:szCs w:val="20"/>
              </w:rPr>
              <w:t>,2020.</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 xml:space="preserve">Daakir M, Pierrot-Deseilligny M, Bosser P, et al. </w:t>
            </w:r>
            <w:bookmarkStart w:id="9" w:name="OLE_LINK24"/>
            <w:bookmarkStart w:id="10" w:name="OLE_LINK23"/>
            <w:bookmarkStart w:id="11" w:name="OLE_LINK22"/>
            <w:r>
              <w:rPr>
                <w:rFonts w:ascii="Times New Roman" w:hAnsi="Times New Roman" w:cs="Times New Roman"/>
                <w:bCs/>
                <w:sz w:val="20"/>
                <w:szCs w:val="20"/>
              </w:rPr>
              <w:t>Lightweight UAV with on-board photogrammetry and single-frequency GPS positioning for metrology applications</w:t>
            </w:r>
            <w:bookmarkEnd w:id="9"/>
            <w:bookmarkEnd w:id="10"/>
            <w:bookmarkEnd w:id="11"/>
            <w:r>
              <w:rPr>
                <w:rFonts w:ascii="Times New Roman" w:hAnsi="Times New Roman" w:cs="Times New Roman"/>
                <w:bCs/>
                <w:sz w:val="20"/>
                <w:szCs w:val="20"/>
              </w:rPr>
              <w:t>[J]. ISPRS Journal of Photogrammetry and Remote Sensing, 2017, 127: 115-126.</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 xml:space="preserve">Chiang K W, Tsai G J, Li Y H, et al. </w:t>
            </w:r>
            <w:bookmarkStart w:id="12" w:name="OLE_LINK25"/>
            <w:bookmarkStart w:id="13" w:name="OLE_LINK21"/>
            <w:r>
              <w:rPr>
                <w:rFonts w:ascii="Times New Roman" w:hAnsi="Times New Roman" w:cs="Times New Roman"/>
                <w:bCs/>
                <w:sz w:val="20"/>
                <w:szCs w:val="20"/>
              </w:rPr>
              <w:t>Development of LiDAR-based UAV system for environment reconstruction</w:t>
            </w:r>
            <w:bookmarkEnd w:id="12"/>
            <w:bookmarkEnd w:id="13"/>
            <w:r>
              <w:rPr>
                <w:rFonts w:ascii="Times New Roman" w:hAnsi="Times New Roman" w:cs="Times New Roman"/>
                <w:bCs/>
                <w:sz w:val="20"/>
                <w:szCs w:val="20"/>
              </w:rPr>
              <w:t xml:space="preserve">[J]. IEEE </w:t>
            </w:r>
            <w:bookmarkStart w:id="14" w:name="OLE_LINK20"/>
            <w:bookmarkStart w:id="15" w:name="OLE_LINK19"/>
            <w:r>
              <w:rPr>
                <w:rFonts w:ascii="Times New Roman" w:hAnsi="Times New Roman" w:cs="Times New Roman"/>
                <w:bCs/>
                <w:sz w:val="20"/>
                <w:szCs w:val="20"/>
              </w:rPr>
              <w:t>Geoscience and Remote Sensing Letters</w:t>
            </w:r>
            <w:bookmarkEnd w:id="14"/>
            <w:bookmarkEnd w:id="15"/>
            <w:r>
              <w:rPr>
                <w:rFonts w:ascii="Times New Roman" w:hAnsi="Times New Roman" w:cs="Times New Roman"/>
                <w:bCs/>
                <w:sz w:val="20"/>
                <w:szCs w:val="20"/>
              </w:rPr>
              <w:t>, 2017, 14(10): 1790-1794.</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邵瑰玮,刘壮,付晶,谈家英,陈怡,周立玮.架空输电线路无人机巡检技术研究进展[J].高电压技术,2020,46(01):14-22.</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Yang X, Li H, Yu Y, et al. Automatic pixel‐level crack detection and measurement using fully convolutional network[J]. Computer‐Aided Civil and Infrastructure Engineering, 2018, 33(12): 1090-1109.</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Yang F, Zhang L, Yu S, et al. Feature pyramid and hierarchical boosting network for pavement crack detection[J]. IEEE Transactions on Intelligent Transportation Systems, 2019, 21(4): 1525-1535.</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 xml:space="preserve">Lai X, Cai Z, Xie Z, et al. A novel displacement and tilt detection method using passive uhf rfid technology[J]. </w:t>
            </w:r>
            <w:r>
              <w:fldChar w:fldCharType="begin"/>
            </w:r>
            <w:r>
              <w:instrText xml:space="preserve"> HYPERLINK "https://www.aminer.cn/conference/5eeb1307b5261c744f15bdc0" </w:instrText>
            </w:r>
            <w:r>
              <w:fldChar w:fldCharType="separate"/>
            </w:r>
            <w:r>
              <w:rPr>
                <w:rFonts w:ascii="Times New Roman" w:hAnsi="Times New Roman" w:cs="Times New Roman"/>
                <w:sz w:val="20"/>
                <w:szCs w:val="20"/>
              </w:rPr>
              <w:t>IEEE Transactions on Image Processing</w:t>
            </w:r>
            <w:r>
              <w:rPr>
                <w:rFonts w:ascii="Times New Roman" w:hAnsi="Times New Roman" w:cs="Times New Roman"/>
                <w:sz w:val="20"/>
                <w:szCs w:val="20"/>
              </w:rPr>
              <w:fldChar w:fldCharType="end"/>
            </w:r>
            <w:r>
              <w:rPr>
                <w:rFonts w:ascii="Times New Roman" w:hAnsi="Times New Roman" w:cs="Times New Roman"/>
                <w:sz w:val="20"/>
                <w:szCs w:val="20"/>
              </w:rPr>
              <w:t>,</w:t>
            </w:r>
            <w:r>
              <w:rPr>
                <w:rFonts w:hint="eastAsia" w:ascii="Times New Roman" w:hAnsi="Times New Roman" w:cs="Times New Roman"/>
                <w:bCs/>
                <w:sz w:val="20"/>
                <w:szCs w:val="20"/>
              </w:rPr>
              <w:t xml:space="preserve"> </w:t>
            </w:r>
            <w:r>
              <w:rPr>
                <w:rFonts w:ascii="Times New Roman" w:hAnsi="Times New Roman" w:cs="Times New Roman"/>
                <w:bCs/>
                <w:sz w:val="20"/>
                <w:szCs w:val="20"/>
              </w:rPr>
              <w:t>2018, 18(5): 1644.</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Zhang X, Zhao Y, Zhou L, et al. Transmission tower tilt monitoring system using low-power wide-area network technology[J]. IEEE Sensors Journal, 2020, 21(2): 1100-1107.</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 xml:space="preserve"> Dong Y, Liu Y, Zhang H, et al. FD-GAN: Generative adversarial networks with fusion-discriminator for single image dehazing[C]//Proceedings of the AAAI Conference on Artificial Intelligence. 2020, 34(07): 10729-10736.</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Ren W, Liu S, Zhang H, et al. Single image dehazing via multi-scale convolutional neural networks[C]//European conference computer vision. Springer, Cham, 2016: 154-169.</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Zhang H, Sindagi V, Patel V M. Image de-raining using a conditional generative adversarial network[J]. IEEE Transactions on Circuits and Systems for Video Technology, 2019, 30(11): 3943-3956.</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Qian R, Tan R T, Yang W, et al. Attentive generative adversarial network for raindrop removal from a single image[C]//Proceedings of the IEEE conference on computer vision and pattern recognition. 2018: 2482-2491.</w:t>
            </w:r>
          </w:p>
          <w:p>
            <w:pPr>
              <w:widowControl w:val="0"/>
              <w:numPr>
                <w:ilvl w:val="0"/>
                <w:numId w:val="2"/>
              </w:numPr>
              <w:spacing w:line="400" w:lineRule="exact"/>
              <w:jc w:val="both"/>
              <w:rPr>
                <w:rFonts w:ascii="Times New Roman" w:hAnsi="Times New Roman" w:cs="Times New Roman"/>
                <w:bCs/>
                <w:sz w:val="20"/>
                <w:szCs w:val="20"/>
              </w:rPr>
            </w:pPr>
            <w:r>
              <w:rPr>
                <w:rFonts w:ascii="Times New Roman" w:hAnsi="Times New Roman" w:cs="Times New Roman"/>
                <w:bCs/>
                <w:sz w:val="20"/>
                <w:szCs w:val="20"/>
              </w:rPr>
              <w:t>Lore K G, Akintayo A, Sarkar S. LLNet: A deep autoencoder approach to natural low-light image enhancement[J]. Pattern Recognition, 2017, 61: 650-662.</w:t>
            </w:r>
          </w:p>
          <w:p>
            <w:pPr>
              <w:widowControl w:val="0"/>
              <w:numPr>
                <w:ilvl w:val="0"/>
                <w:numId w:val="2"/>
              </w:numPr>
              <w:spacing w:line="400" w:lineRule="exact"/>
              <w:jc w:val="both"/>
              <w:rPr>
                <w:rFonts w:ascii="Times New Roman" w:hAnsi="Times New Roman" w:cs="Times New Roman"/>
                <w:b/>
                <w:bCs/>
                <w:sz w:val="20"/>
                <w:szCs w:val="20"/>
              </w:rPr>
            </w:pPr>
            <w:r>
              <w:rPr>
                <w:rFonts w:ascii="Times New Roman" w:hAnsi="Times New Roman" w:cs="Times New Roman"/>
                <w:bCs/>
                <w:sz w:val="20"/>
                <w:szCs w:val="20"/>
              </w:rPr>
              <w:t>Tao X, Gao H, Shen X, et al. Scale-recurrent network for deep image deblurring[C]//Proceedings of the IEEE Conference on Computer Vision and Pattern Recognition. 2018: 8174-8182.</w:t>
            </w:r>
            <w:r>
              <w:rPr>
                <w:rFonts w:ascii="Times New Roman" w:hAnsi="Times New Roman" w:cs="Times New Roman"/>
                <w:b/>
                <w:bCs/>
                <w:sz w:val="20"/>
                <w:szCs w:val="20"/>
              </w:rPr>
              <w:t xml:space="preserve"> </w:t>
            </w:r>
          </w:p>
          <w:p>
            <w:pPr>
              <w:pStyle w:val="27"/>
              <w:spacing w:line="360" w:lineRule="auto"/>
              <w:ind w:firstLine="0"/>
              <w:rPr>
                <w:rStyle w:val="59"/>
                <w:rFonts w:ascii="宋体" w:hAnsi="宋体"/>
                <w:spacing w:val="15"/>
              </w:rPr>
            </w:pPr>
          </w:p>
          <w:p>
            <w:pPr>
              <w:pStyle w:val="27"/>
              <w:spacing w:line="360" w:lineRule="auto"/>
              <w:ind w:firstLine="0"/>
              <w:rPr>
                <w:rStyle w:val="59"/>
                <w:rFonts w:ascii="宋体" w:hAnsi="宋体"/>
                <w:spacing w:val="15"/>
              </w:rPr>
            </w:pPr>
          </w:p>
          <w:p>
            <w:pPr>
              <w:pStyle w:val="27"/>
              <w:spacing w:line="360" w:lineRule="auto"/>
              <w:ind w:firstLine="0"/>
              <w:rPr>
                <w:rStyle w:val="59"/>
                <w:rFonts w:ascii="宋体" w:hAnsi="宋体"/>
                <w:spacing w:val="15"/>
              </w:rPr>
            </w:pPr>
          </w:p>
          <w:p>
            <w:pPr>
              <w:pStyle w:val="27"/>
              <w:spacing w:line="360" w:lineRule="auto"/>
              <w:ind w:firstLine="0"/>
              <w:rPr>
                <w:rStyle w:val="59"/>
                <w:rFonts w:ascii="宋体" w:hAnsi="宋体"/>
                <w:spacing w:val="15"/>
              </w:rPr>
            </w:pPr>
          </w:p>
          <w:p>
            <w:pPr>
              <w:pStyle w:val="27"/>
              <w:spacing w:line="360" w:lineRule="auto"/>
              <w:ind w:firstLine="0"/>
              <w:rPr>
                <w:rStyle w:val="59"/>
                <w:rFonts w:ascii="宋体" w:hAnsi="宋体"/>
                <w:spacing w:val="15"/>
              </w:rPr>
            </w:pPr>
          </w:p>
          <w:p>
            <w:pPr>
              <w:pStyle w:val="27"/>
              <w:spacing w:line="360" w:lineRule="auto"/>
              <w:ind w:firstLine="0"/>
              <w:rPr>
                <w:rStyle w:val="59"/>
                <w:rFonts w:ascii="宋体" w:hAnsi="宋体"/>
                <w:spacing w:val="15"/>
              </w:rPr>
            </w:pPr>
          </w:p>
        </w:tc>
      </w:tr>
      <w:tr>
        <w:tblPrEx>
          <w:tblCellMar>
            <w:top w:w="0" w:type="dxa"/>
            <w:left w:w="0" w:type="dxa"/>
            <w:bottom w:w="0" w:type="dxa"/>
            <w:right w:w="0" w:type="dxa"/>
          </w:tblCellMar>
        </w:tblPrEx>
        <w:trPr>
          <w:trHeight w:val="740" w:hRule="atLeast"/>
          <w:jc w:val="center"/>
        </w:trPr>
        <w:tc>
          <w:tcPr>
            <w:tcW w:w="10200" w:type="dxa"/>
            <w:tcBorders>
              <w:top w:val="single" w:color="auto" w:sz="4" w:space="0"/>
              <w:left w:val="single" w:color="000000" w:sz="6" w:space="0"/>
              <w:bottom w:val="single" w:color="000000" w:sz="6" w:space="0"/>
              <w:right w:val="single" w:color="000000" w:sz="6" w:space="0"/>
            </w:tcBorders>
            <w:vAlign w:val="center"/>
          </w:tcPr>
          <w:p>
            <w:pPr>
              <w:pStyle w:val="27"/>
              <w:wordWrap w:val="0"/>
              <w:ind w:firstLine="0"/>
              <w:rPr>
                <w:rStyle w:val="59"/>
                <w:rFonts w:ascii="宋体" w:hAnsi="宋体"/>
                <w:spacing w:val="15"/>
              </w:rPr>
            </w:pPr>
            <w:r>
              <w:rPr>
                <w:rStyle w:val="59"/>
                <w:rFonts w:hint="eastAsia"/>
                <w:spacing w:val="15"/>
              </w:rPr>
              <w:t>二</w:t>
            </w:r>
            <w:r>
              <w:rPr>
                <w:rStyle w:val="59"/>
                <w:rFonts w:hint="eastAsia" w:ascii="宋体" w:hAnsi="宋体"/>
                <w:spacing w:val="15"/>
              </w:rPr>
              <w:t>、项目研究主要目标、研究内容、技术关键、技术路线和应用方案。</w:t>
            </w:r>
            <w:r>
              <w:rPr>
                <w:rFonts w:hint="eastAsia" w:cs="Times New Roman"/>
                <w:spacing w:val="15"/>
              </w:rPr>
              <w:t>(不超过3000字)</w:t>
            </w:r>
          </w:p>
        </w:tc>
      </w:tr>
      <w:tr>
        <w:tblPrEx>
          <w:tblCellMar>
            <w:top w:w="0" w:type="dxa"/>
            <w:left w:w="0" w:type="dxa"/>
            <w:bottom w:w="0" w:type="dxa"/>
            <w:right w:w="0" w:type="dxa"/>
          </w:tblCellMar>
        </w:tblPrEx>
        <w:trPr>
          <w:trHeight w:val="12300" w:hRule="atLeast"/>
          <w:jc w:val="center"/>
        </w:trPr>
        <w:tc>
          <w:tcPr>
            <w:tcW w:w="10200" w:type="dxa"/>
            <w:tcBorders>
              <w:top w:val="single" w:color="000000" w:sz="6" w:space="0"/>
              <w:left w:val="single" w:color="000000" w:sz="6" w:space="0"/>
              <w:bottom w:val="single" w:color="000000" w:sz="6" w:space="0"/>
              <w:right w:val="single" w:color="000000" w:sz="6" w:space="0"/>
            </w:tcBorders>
          </w:tcPr>
          <w:p>
            <w:pPr>
              <w:widowControl w:val="0"/>
              <w:spacing w:before="120" w:after="240" w:line="400" w:lineRule="exact"/>
              <w:rPr>
                <w:rFonts w:ascii="Times New Roman" w:hAnsi="Times New Roman"/>
                <w:b/>
                <w:color w:val="000000"/>
                <w:kern w:val="2"/>
              </w:rPr>
            </w:pPr>
            <w:bookmarkStart w:id="16" w:name="_Hlk80189155"/>
            <w:r>
              <w:rPr>
                <w:rFonts w:ascii="Times New Roman" w:hAnsi="Times New Roman"/>
                <w:b/>
                <w:color w:val="000000"/>
                <w:kern w:val="2"/>
              </w:rPr>
              <w:t>2.1</w:t>
            </w:r>
            <w:r>
              <w:rPr>
                <w:rFonts w:ascii="Times New Roman" w:hAnsi="Times New Roman"/>
                <w:b/>
                <w:color w:val="000000"/>
                <w:kern w:val="2"/>
              </w:rPr>
              <w:tab/>
            </w:r>
            <w:r>
              <w:rPr>
                <w:rFonts w:ascii="Times New Roman" w:hAnsi="Times New Roman"/>
                <w:b/>
                <w:color w:val="000000"/>
                <w:kern w:val="2"/>
              </w:rPr>
              <w:t>研究</w:t>
            </w:r>
            <w:r>
              <w:rPr>
                <w:rFonts w:hint="eastAsia" w:ascii="Times New Roman" w:hAnsi="Times New Roman"/>
                <w:b/>
                <w:color w:val="000000"/>
                <w:kern w:val="2"/>
              </w:rPr>
              <w:t>主要</w:t>
            </w:r>
            <w:r>
              <w:rPr>
                <w:rFonts w:ascii="Times New Roman" w:hAnsi="Times New Roman"/>
                <w:b/>
                <w:color w:val="000000"/>
                <w:kern w:val="2"/>
              </w:rPr>
              <w:t>目标</w:t>
            </w:r>
          </w:p>
          <w:p>
            <w:pPr>
              <w:spacing w:line="400" w:lineRule="exact"/>
              <w:ind w:firstLine="480" w:firstLineChars="200"/>
              <w:jc w:val="both"/>
            </w:pPr>
            <w:r>
              <w:t>本项目针对变电站震</w:t>
            </w:r>
            <w:r>
              <w:rPr>
                <w:rFonts w:hint="eastAsia"/>
              </w:rPr>
              <w:t>后</w:t>
            </w:r>
            <w:r>
              <w:t>损毁智能检测与分析问题</w:t>
            </w:r>
            <w:r>
              <w:rPr>
                <w:rFonts w:hint="eastAsia"/>
              </w:rPr>
              <w:t>，提出了基于无人机搭载机器视觉系统的检测方案，并研究其中的无人机高精度定位、自主导航、实时避障以及复杂光照条件下的图像复原和增强技术，实现对变电站震后设备</w:t>
            </w:r>
            <w:r>
              <w:rPr>
                <w:rFonts w:hint="eastAsia" w:ascii="Times New Roman" w:hAnsi="Times New Roman" w:cs="Times New Roman"/>
                <w:kern w:val="2"/>
                <w:szCs w:val="22"/>
              </w:rPr>
              <w:t>破损、姿态、裂痕和漏油的智能检测评估，为地震灾害后变电站紧急通电决策提供技术依据。</w:t>
            </w:r>
          </w:p>
          <w:p>
            <w:pPr>
              <w:widowControl w:val="0"/>
              <w:spacing w:before="120" w:after="240" w:line="400" w:lineRule="exact"/>
              <w:jc w:val="both"/>
              <w:rPr>
                <w:rFonts w:ascii="Times New Roman" w:hAnsi="Times New Roman"/>
                <w:b/>
                <w:color w:val="000000"/>
                <w:kern w:val="2"/>
              </w:rPr>
            </w:pPr>
            <w:r>
              <w:rPr>
                <w:rFonts w:ascii="Times New Roman" w:hAnsi="Times New Roman"/>
                <w:b/>
                <w:color w:val="000000"/>
                <w:kern w:val="2"/>
              </w:rPr>
              <w:t>2.2研究内容</w:t>
            </w:r>
          </w:p>
          <w:p>
            <w:pPr>
              <w:spacing w:line="400" w:lineRule="exact"/>
              <w:ind w:firstLine="480" w:firstLineChars="200"/>
              <w:jc w:val="both"/>
              <w:rPr>
                <w:color w:val="000000"/>
              </w:rPr>
            </w:pPr>
            <w:r>
              <w:rPr>
                <w:color w:val="000000"/>
              </w:rPr>
              <w:t>本项目</w:t>
            </w:r>
            <w:r>
              <w:rPr>
                <w:rFonts w:hint="eastAsia"/>
                <w:color w:val="000000"/>
              </w:rPr>
              <w:t>主要</w:t>
            </w:r>
            <w:r>
              <w:rPr>
                <w:color w:val="000000"/>
              </w:rPr>
              <w:t>研究</w:t>
            </w:r>
            <w:r>
              <w:rPr>
                <w:rFonts w:hint="eastAsia"/>
                <w:color w:val="000000"/>
              </w:rPr>
              <w:t>以下内容</w:t>
            </w:r>
            <w:r>
              <w:rPr>
                <w:color w:val="000000"/>
              </w:rPr>
              <w:t>：</w:t>
            </w:r>
          </w:p>
          <w:p>
            <w:pPr>
              <w:spacing w:line="400" w:lineRule="exact"/>
              <w:ind w:firstLine="482" w:firstLineChars="200"/>
              <w:rPr>
                <w:b/>
                <w:color w:val="000000"/>
              </w:rPr>
            </w:pPr>
            <w:r>
              <w:rPr>
                <w:rFonts w:hint="eastAsia"/>
                <w:b/>
                <w:color w:val="000000"/>
              </w:rPr>
              <w:t>（1）局部复杂空间环境下无人机自主建图定位和实时避障</w:t>
            </w:r>
            <w:r>
              <w:rPr>
                <w:b/>
                <w:color w:val="000000"/>
              </w:rPr>
              <w:t>研究</w:t>
            </w:r>
          </w:p>
          <w:p>
            <w:pPr>
              <w:spacing w:line="400" w:lineRule="exact"/>
              <w:ind w:firstLine="480" w:firstLineChars="200"/>
              <w:jc w:val="both"/>
              <w:rPr>
                <w:color w:val="000000"/>
              </w:rPr>
            </w:pPr>
            <w:r>
              <w:rPr>
                <w:rFonts w:hint="eastAsia"/>
                <w:color w:val="000000"/>
              </w:rPr>
              <w:t>传统</w:t>
            </w:r>
            <w:r>
              <w:rPr>
                <w:color w:val="000000"/>
              </w:rPr>
              <w:t>基于卫星定位的导航和避障技术存在</w:t>
            </w:r>
            <w:r>
              <w:rPr>
                <w:rFonts w:hint="eastAsia"/>
                <w:color w:val="000000"/>
              </w:rPr>
              <w:t>定位精度不足、卫星信号弱等问题。本项目通过研究</w:t>
            </w:r>
            <w:r>
              <w:rPr>
                <w:color w:val="000000"/>
              </w:rPr>
              <w:t>局部空间下</w:t>
            </w:r>
            <w:r>
              <w:rPr>
                <w:rFonts w:hint="eastAsia"/>
                <w:color w:val="000000"/>
              </w:rPr>
              <w:t>融合</w:t>
            </w:r>
            <w:r>
              <w:rPr>
                <w:color w:val="000000"/>
              </w:rPr>
              <w:t>视觉/惯性导航</w:t>
            </w:r>
            <w:r>
              <w:rPr>
                <w:rFonts w:hint="eastAsia"/>
                <w:color w:val="000000"/>
              </w:rPr>
              <w:t>的同步建图和</w:t>
            </w:r>
            <w:r>
              <w:rPr>
                <w:color w:val="000000"/>
              </w:rPr>
              <w:t>定位方法以及实时避障技术</w:t>
            </w:r>
            <w:r>
              <w:rPr>
                <w:rFonts w:hint="eastAsia"/>
                <w:color w:val="000000"/>
              </w:rPr>
              <w:t>，</w:t>
            </w:r>
            <w:r>
              <w:rPr>
                <w:color w:val="000000"/>
              </w:rPr>
              <w:t>提升无人机在</w:t>
            </w:r>
            <w:r>
              <w:rPr>
                <w:rFonts w:hint="eastAsia"/>
                <w:color w:val="000000"/>
              </w:rPr>
              <w:t>局部复杂环境下</w:t>
            </w:r>
            <w:r>
              <w:rPr>
                <w:color w:val="000000"/>
              </w:rPr>
              <w:t>的自主飞行能力。</w:t>
            </w:r>
          </w:p>
          <w:p>
            <w:pPr>
              <w:spacing w:line="400" w:lineRule="exact"/>
              <w:ind w:firstLine="482" w:firstLineChars="200"/>
              <w:rPr>
                <w:b/>
                <w:color w:val="000000"/>
              </w:rPr>
            </w:pPr>
            <w:bookmarkStart w:id="17" w:name="OLE_LINK8"/>
            <w:r>
              <w:rPr>
                <w:rFonts w:hint="eastAsia"/>
                <w:b/>
                <w:color w:val="000000"/>
              </w:rPr>
              <w:t>（</w:t>
            </w:r>
            <w:r>
              <w:rPr>
                <w:b/>
                <w:color w:val="000000"/>
              </w:rPr>
              <w:t>2</w:t>
            </w:r>
            <w:r>
              <w:rPr>
                <w:rFonts w:hint="eastAsia"/>
                <w:b/>
                <w:color w:val="000000"/>
              </w:rPr>
              <w:t>）</w:t>
            </w:r>
            <w:r>
              <w:rPr>
                <w:b/>
                <w:color w:val="000000"/>
              </w:rPr>
              <w:t>震后变电站场景的无人机图像复原与增强技术</w:t>
            </w:r>
            <w:bookmarkEnd w:id="17"/>
            <w:r>
              <w:rPr>
                <w:rFonts w:hint="eastAsia"/>
                <w:b/>
                <w:color w:val="000000"/>
              </w:rPr>
              <w:t>研究</w:t>
            </w:r>
          </w:p>
          <w:p>
            <w:pPr>
              <w:spacing w:line="400" w:lineRule="exact"/>
              <w:ind w:firstLine="480" w:firstLineChars="200"/>
              <w:rPr>
                <w:bCs/>
                <w:color w:val="000000"/>
              </w:rPr>
            </w:pPr>
            <w:r>
              <w:rPr>
                <w:rFonts w:hint="eastAsia"/>
                <w:bCs/>
                <w:color w:val="000000"/>
              </w:rPr>
              <w:t>无人机采集的震后变电站场景图像可能存在多种退化可能，如雾霾造成的图像雾化、弱光照造成的噪点及无人机抖动造成的动态模糊等，针对图像的多退化问题，研究基于生成对抗网络的综合图像处理算法，建立图像退化原因检测机制，实现对图像的自动复原及增强。</w:t>
            </w:r>
          </w:p>
          <w:p>
            <w:pPr>
              <w:spacing w:line="400" w:lineRule="exact"/>
              <w:ind w:firstLine="482" w:firstLineChars="200"/>
              <w:rPr>
                <w:b/>
                <w:color w:val="000000"/>
              </w:rPr>
            </w:pPr>
            <w:r>
              <w:rPr>
                <w:rFonts w:hint="eastAsia"/>
                <w:b/>
                <w:color w:val="000000"/>
              </w:rPr>
              <w:t>（3）</w:t>
            </w:r>
            <w:r>
              <w:rPr>
                <w:b/>
                <w:color w:val="000000"/>
              </w:rPr>
              <w:t>基于无人机图像的</w:t>
            </w:r>
            <w:r>
              <w:rPr>
                <w:rFonts w:hint="eastAsia"/>
                <w:b/>
                <w:color w:val="000000"/>
              </w:rPr>
              <w:t>变电站设备裂痕</w:t>
            </w:r>
            <w:r>
              <w:rPr>
                <w:b/>
                <w:color w:val="000000"/>
              </w:rPr>
              <w:t>识别</w:t>
            </w:r>
            <w:r>
              <w:rPr>
                <w:rFonts w:hint="eastAsia"/>
                <w:b/>
                <w:color w:val="000000"/>
              </w:rPr>
              <w:t>和</w:t>
            </w:r>
            <w:r>
              <w:rPr>
                <w:b/>
                <w:color w:val="000000"/>
              </w:rPr>
              <w:t>倾斜检测研究</w:t>
            </w:r>
          </w:p>
          <w:p>
            <w:pPr>
              <w:widowControl w:val="0"/>
              <w:spacing w:line="400" w:lineRule="exact"/>
              <w:ind w:firstLine="480" w:firstLineChars="200"/>
              <w:jc w:val="both"/>
              <w:rPr>
                <w:color w:val="000000"/>
                <w:kern w:val="2"/>
              </w:rPr>
            </w:pPr>
            <w:r>
              <w:rPr>
                <w:rFonts w:hint="eastAsia"/>
                <w:color w:val="000000"/>
                <w:kern w:val="2"/>
              </w:rPr>
              <w:t>针对变电站震后损毁检测中存在的震后设备损毁样本量稀缺、样本特征存在领域偏移、自身纹路与裂痕相似度较高、现场干扰严重和设备倾斜等问题，研究基于无监督领域自适应和图像实时校正算法，提高设备裂痕、倾斜检测的准确率。</w:t>
            </w:r>
          </w:p>
          <w:p>
            <w:pPr>
              <w:widowControl w:val="0"/>
              <w:spacing w:line="400" w:lineRule="exact"/>
              <w:jc w:val="both"/>
              <w:rPr>
                <w:rFonts w:ascii="Times New Roman" w:hAnsi="Times New Roman"/>
                <w:b/>
                <w:color w:val="000000"/>
                <w:kern w:val="2"/>
              </w:rPr>
            </w:pPr>
            <w:r>
              <w:rPr>
                <w:rFonts w:ascii="Times New Roman" w:hAnsi="Times New Roman"/>
                <w:b/>
                <w:color w:val="000000"/>
                <w:kern w:val="2"/>
              </w:rPr>
              <w:t>2.3技术关键分析</w:t>
            </w:r>
          </w:p>
          <w:p>
            <w:pPr>
              <w:spacing w:line="400" w:lineRule="exact"/>
              <w:ind w:firstLine="480" w:firstLineChars="200"/>
              <w:jc w:val="both"/>
              <w:rPr>
                <w:color w:val="000000"/>
              </w:rPr>
            </w:pPr>
            <w:r>
              <w:rPr>
                <w:rFonts w:hint="eastAsia"/>
                <w:color w:val="000000"/>
              </w:rPr>
              <w:t>本项目涉及的技术关键和难点在于：无人机如何构</w:t>
            </w:r>
            <w:r>
              <w:rPr>
                <w:rFonts w:hint="eastAsia"/>
              </w:rPr>
              <w:t>建高精度建</w:t>
            </w:r>
            <w:r>
              <w:t>图</w:t>
            </w:r>
            <w:r>
              <w:rPr>
                <w:rFonts w:hint="eastAsia"/>
              </w:rPr>
              <w:t>以</w:t>
            </w:r>
            <w:r>
              <w:rPr>
                <w:rFonts w:hint="eastAsia"/>
                <w:color w:val="000000"/>
              </w:rPr>
              <w:t>及导航避障、如何对多退化图像进行复原和增强以及实现关键设备裂痕检测和倾斜检测。具体体现在以下方面：</w:t>
            </w:r>
          </w:p>
          <w:p>
            <w:pPr>
              <w:spacing w:line="400" w:lineRule="exact"/>
              <w:ind w:firstLine="482" w:firstLineChars="200"/>
              <w:rPr>
                <w:b/>
                <w:bCs/>
                <w:color w:val="000000"/>
              </w:rPr>
            </w:pPr>
            <w:r>
              <w:rPr>
                <w:rFonts w:hint="eastAsia"/>
                <w:b/>
                <w:bCs/>
                <w:color w:val="000000"/>
              </w:rPr>
              <w:t>(1)</w:t>
            </w:r>
            <w:r>
              <w:rPr>
                <w:rFonts w:hint="eastAsia"/>
                <w:b/>
                <w:color w:val="000000"/>
              </w:rPr>
              <w:t>局部复杂空间环境下无人机自主建图定位和实时避障研究</w:t>
            </w:r>
          </w:p>
          <w:p>
            <w:pPr>
              <w:spacing w:line="400" w:lineRule="exact"/>
              <w:ind w:firstLine="480" w:firstLineChars="200"/>
              <w:jc w:val="both"/>
            </w:pPr>
            <w:r>
              <w:rPr>
                <w:rFonts w:hint="eastAsia"/>
              </w:rPr>
              <w:t>无人机在变电站中巡检时，缺少环境信息，必须建立局部地图。因此，如何将无人机观测到的环境信息进行配准，解算无人机的位姿，绘制局部地图是其中一个关键点。其次，进行定位时，相机或惯性测量元件可能发生观测失效的问题，如何在单个传感器失效时利用信息互补机制进行弥补，也是本项目的难题。此外，在多障碍物的环境中，构建合理的无人机避障规划策略，在避障的同时接近目标点，也是技术关键点。</w:t>
            </w:r>
          </w:p>
          <w:p>
            <w:pPr>
              <w:spacing w:line="400" w:lineRule="exact"/>
              <w:ind w:firstLine="482" w:firstLineChars="200"/>
              <w:rPr>
                <w:rFonts w:ascii="Times New Roman" w:hAnsi="Times New Roman"/>
                <w:b/>
                <w:bCs/>
                <w:color w:val="000000"/>
                <w:lang w:bidi="ar"/>
              </w:rPr>
            </w:pPr>
            <w:r>
              <w:rPr>
                <w:rFonts w:hint="eastAsia" w:ascii="Times New Roman" w:hAnsi="Times New Roman"/>
                <w:b/>
                <w:bCs/>
                <w:color w:val="000000"/>
                <w:lang w:bidi="ar"/>
              </w:rPr>
              <w:t>(2)</w:t>
            </w:r>
            <w:r>
              <w:rPr>
                <w:b/>
                <w:color w:val="000000"/>
              </w:rPr>
              <w:t>震后变电站场景的无人机图像复原与增强技术</w:t>
            </w:r>
          </w:p>
          <w:p>
            <w:pPr>
              <w:spacing w:line="400" w:lineRule="exact"/>
              <w:ind w:firstLine="480" w:firstLineChars="200"/>
              <w:rPr>
                <w:rFonts w:ascii="Times New Roman" w:hAnsi="Times New Roman"/>
                <w:lang w:bidi="ar"/>
              </w:rPr>
            </w:pPr>
            <w:r>
              <w:rPr>
                <w:rFonts w:hint="eastAsia" w:ascii="Times New Roman" w:hAnsi="Times New Roman"/>
                <w:lang w:bidi="ar"/>
              </w:rPr>
              <w:t>本项目使用神经网络结构搜索技术搜索生成对抗网络结构，能够自动生成处理多种退化类型图像的网络，对震后变电站复杂图像具有较好的增强与复原效果。但由于生成器与判别器的学习能力可能不一致而导致网络更新缓慢，同时由于生成对抗网络对超参数的具有敏感性，因此这是需要解决的关键技术问题，使得自动生成的网络具有更强的鲁棒性和准确性。</w:t>
            </w:r>
          </w:p>
          <w:p>
            <w:pPr>
              <w:spacing w:line="400" w:lineRule="exact"/>
              <w:ind w:firstLine="482" w:firstLineChars="200"/>
              <w:rPr>
                <w:b/>
              </w:rPr>
            </w:pPr>
            <w:r>
              <w:rPr>
                <w:rFonts w:hint="eastAsia"/>
                <w:b/>
                <w:bCs/>
              </w:rPr>
              <w:t>(3)</w:t>
            </w:r>
            <w:r>
              <w:rPr>
                <w:b/>
              </w:rPr>
              <w:t>基于无人机图像的</w:t>
            </w:r>
            <w:r>
              <w:rPr>
                <w:rFonts w:hint="eastAsia"/>
                <w:b/>
              </w:rPr>
              <w:t>变电站设备裂痕</w:t>
            </w:r>
            <w:r>
              <w:rPr>
                <w:b/>
              </w:rPr>
              <w:t>识别</w:t>
            </w:r>
            <w:r>
              <w:rPr>
                <w:rFonts w:hint="eastAsia"/>
                <w:b/>
              </w:rPr>
              <w:t>和</w:t>
            </w:r>
            <w:r>
              <w:rPr>
                <w:b/>
              </w:rPr>
              <w:t>倾斜检测研究</w:t>
            </w:r>
          </w:p>
          <w:p>
            <w:pPr>
              <w:pStyle w:val="85"/>
              <w:ind w:firstLine="480"/>
            </w:pPr>
            <w:r>
              <w:rPr>
                <w:rFonts w:hint="eastAsia"/>
              </w:rPr>
              <w:t>震后变电站设备的损毁检测的核心问题，即变电站震害损毁样本稀缺，将模型学习到的知识迁移至震后变电站设备损毁图像中，准确识别震后产生的设备裂痕，对柱状设备倾斜的检测面临无人机飞行过程中相机本身存在角度倾斜问题，都是在研究中需要深入解决的方面。</w:t>
            </w:r>
          </w:p>
          <w:bookmarkEnd w:id="16"/>
          <w:p>
            <w:pPr>
              <w:widowControl w:val="0"/>
              <w:spacing w:before="120" w:after="240" w:line="400" w:lineRule="exact"/>
              <w:jc w:val="both"/>
              <w:rPr>
                <w:rFonts w:ascii="Times New Roman" w:hAnsi="Times New Roman"/>
                <w:b/>
                <w:color w:val="000000"/>
                <w:kern w:val="2"/>
              </w:rPr>
            </w:pPr>
            <w:bookmarkStart w:id="18" w:name="_Hlk80189506"/>
            <w:r>
              <w:rPr>
                <w:rFonts w:ascii="Times New Roman" w:hAnsi="Times New Roman"/>
                <w:b/>
                <w:color w:val="000000"/>
                <w:kern w:val="2"/>
              </w:rPr>
              <w:t>2.4技术路线</w:t>
            </w:r>
          </w:p>
          <w:p>
            <w:pPr>
              <w:spacing w:line="400" w:lineRule="exact"/>
              <w:ind w:firstLine="480" w:firstLineChars="200"/>
              <w:jc w:val="both"/>
            </w:pPr>
            <w:bookmarkStart w:id="19" w:name="_Hlk80189494"/>
            <w:r>
              <w:rPr>
                <w:rFonts w:hint="eastAsia"/>
              </w:rPr>
              <w:t>为了达到快速评估变电站震害情况的目标，本项目采用无人机搭载视觉处理系统的方案进行震害评估，其基本流程是：对变电站关键电气元件的进行定点检测，无人机到达目标位置后围绕目标电气元件绕飞获取多个视角下的电气元件的图像信息；考虑到地震后的环境会对图像质量产生影响，必须在损毁检测前对图像进行智能复原与增强；再将处理后的高质量图像输入关键设备裂痕检测和倾斜检测模型并判断关键电气设备的损毁情况，最终得出较为准确的变电站震害损毁评估报告。本项目</w:t>
            </w:r>
            <w:r>
              <w:rPr>
                <w:rFonts w:hint="eastAsia"/>
                <w:b/>
              </w:rPr>
              <w:t>总体技术路线</w:t>
            </w:r>
            <w:r>
              <w:rPr>
                <w:rFonts w:hint="eastAsia"/>
              </w:rPr>
              <w:t>如图</w:t>
            </w:r>
            <w:r>
              <w:t>2</w:t>
            </w:r>
            <w:r>
              <w:rPr>
                <w:rFonts w:hint="eastAsia"/>
              </w:rPr>
              <w:t>所示。</w:t>
            </w:r>
          </w:p>
          <w:bookmarkEnd w:id="18"/>
          <w:bookmarkEnd w:id="19"/>
          <w:p>
            <w:pPr>
              <w:spacing w:line="360" w:lineRule="auto"/>
              <w:jc w:val="center"/>
              <w:rPr>
                <w:color w:val="000000"/>
              </w:rPr>
            </w:pPr>
            <w:r>
              <w:drawing>
                <wp:inline distT="0" distB="0" distL="0" distR="0">
                  <wp:extent cx="6421755" cy="30181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449142" cy="3030939"/>
                          </a:xfrm>
                          <a:prstGeom prst="rect">
                            <a:avLst/>
                          </a:prstGeom>
                          <a:noFill/>
                          <a:ln>
                            <a:noFill/>
                          </a:ln>
                        </pic:spPr>
                      </pic:pic>
                    </a:graphicData>
                  </a:graphic>
                </wp:inline>
              </w:drawing>
            </w:r>
          </w:p>
          <w:p>
            <w:pPr>
              <w:spacing w:line="360" w:lineRule="auto"/>
              <w:jc w:val="center"/>
              <w:rPr>
                <w:sz w:val="21"/>
                <w:szCs w:val="21"/>
              </w:rPr>
            </w:pPr>
            <w:bookmarkStart w:id="20" w:name="_Hlk80189548"/>
            <w:r>
              <w:rPr>
                <w:rFonts w:hint="eastAsia"/>
                <w:sz w:val="21"/>
                <w:szCs w:val="21"/>
              </w:rPr>
              <w:t>图</w:t>
            </w:r>
            <w:r>
              <w:rPr>
                <w:rFonts w:ascii="Times New Roman" w:hAnsi="Times New Roman" w:cs="Times New Roman"/>
                <w:sz w:val="21"/>
                <w:szCs w:val="21"/>
              </w:rPr>
              <w:t>2</w:t>
            </w:r>
            <w:r>
              <w:rPr>
                <w:sz w:val="21"/>
                <w:szCs w:val="21"/>
              </w:rPr>
              <w:t xml:space="preserve"> </w:t>
            </w:r>
            <w:r>
              <w:rPr>
                <w:rFonts w:hint="eastAsia"/>
                <w:sz w:val="21"/>
                <w:szCs w:val="21"/>
              </w:rPr>
              <w:t>总体技术路线示意图</w:t>
            </w:r>
          </w:p>
          <w:p>
            <w:pPr>
              <w:spacing w:line="400" w:lineRule="exact"/>
              <w:ind w:left="480"/>
              <w:jc w:val="both"/>
              <w:rPr>
                <w:rFonts w:ascii="Times New Roman" w:hAnsi="Times New Roman" w:cs="Times New Roman"/>
                <w:b/>
                <w:color w:val="000000"/>
              </w:rPr>
            </w:pPr>
            <w:bookmarkStart w:id="21" w:name="OLE_LINK4"/>
            <w:r>
              <w:rPr>
                <w:rFonts w:ascii="Times New Roman" w:hAnsi="Times New Roman" w:cs="Times New Roman"/>
                <w:b/>
                <w:color w:val="000000"/>
              </w:rPr>
              <w:t>（1）局部复杂空间环境下无人机自</w:t>
            </w:r>
            <w:r>
              <w:rPr>
                <w:rFonts w:hint="eastAsia" w:ascii="Times New Roman" w:hAnsi="Times New Roman" w:cs="Times New Roman"/>
                <w:b/>
                <w:color w:val="000000"/>
              </w:rPr>
              <w:t>主建图定位</w:t>
            </w:r>
            <w:r>
              <w:rPr>
                <w:rFonts w:ascii="Times New Roman" w:hAnsi="Times New Roman" w:cs="Times New Roman"/>
                <w:b/>
                <w:color w:val="000000"/>
              </w:rPr>
              <w:t>和实时避障技术研究</w:t>
            </w:r>
          </w:p>
          <w:p>
            <w:pPr>
              <w:spacing w:line="400" w:lineRule="exact"/>
              <w:ind w:firstLine="480" w:firstLineChars="200"/>
              <w:jc w:val="both"/>
              <w:rPr>
                <w:rStyle w:val="86"/>
                <w:rFonts w:ascii="Times New Roman" w:hAnsi="Times New Roman" w:cs="Times New Roman"/>
              </w:rPr>
            </w:pPr>
            <w:r>
              <w:rPr>
                <w:rStyle w:val="86"/>
                <w:rFonts w:ascii="Times New Roman" w:hAnsi="Times New Roman" w:cs="Times New Roman"/>
              </w:rPr>
              <w:t>该部分包含了局部地图构建、多传感器融合定位和导航避障三个内容，其技术路线如图3所示。各部分的具体技术如下：</w:t>
            </w:r>
          </w:p>
          <w:bookmarkEnd w:id="20"/>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5314950" cy="38392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353075" cy="3866783"/>
                          </a:xfrm>
                          <a:prstGeom prst="rect">
                            <a:avLst/>
                          </a:prstGeom>
                          <a:noFill/>
                          <a:ln>
                            <a:noFill/>
                          </a:ln>
                        </pic:spPr>
                      </pic:pic>
                    </a:graphicData>
                  </a:graphic>
                </wp:inline>
              </w:drawing>
            </w:r>
          </w:p>
          <w:p>
            <w:pPr>
              <w:widowControl w:val="0"/>
              <w:spacing w:line="360" w:lineRule="auto"/>
              <w:ind w:firstLine="420" w:firstLineChars="200"/>
              <w:jc w:val="center"/>
              <w:rPr>
                <w:rFonts w:ascii="Times New Roman" w:hAnsi="Times New Roman" w:cs="Times New Roman"/>
                <w:color w:val="000000"/>
                <w:kern w:val="2"/>
                <w:sz w:val="21"/>
              </w:rPr>
            </w:pPr>
            <w:bookmarkStart w:id="22" w:name="_Hlk80189908"/>
            <w:r>
              <w:rPr>
                <w:rFonts w:ascii="Times New Roman" w:hAnsi="Times New Roman" w:cs="Times New Roman"/>
                <w:color w:val="000000"/>
                <w:kern w:val="2"/>
                <w:sz w:val="21"/>
              </w:rPr>
              <w:t>图3 复杂环境下无人机自主导和实时避障流程</w:t>
            </w:r>
          </w:p>
          <w:bookmarkEnd w:id="22"/>
          <w:p>
            <w:pPr>
              <w:spacing w:line="400" w:lineRule="exact"/>
              <w:ind w:firstLine="480" w:firstLineChars="200"/>
              <w:jc w:val="both"/>
              <w:rPr>
                <w:rStyle w:val="86"/>
                <w:rFonts w:ascii="Times New Roman" w:hAnsi="Times New Roman" w:cs="Times New Roman"/>
              </w:rPr>
            </w:pPr>
            <w:bookmarkStart w:id="23" w:name="_Hlk80189669"/>
            <w:r>
              <w:rPr>
                <w:rStyle w:val="86"/>
                <w:rFonts w:hint="eastAsia"/>
              </w:rPr>
              <w:t>①</w:t>
            </w:r>
            <w:r>
              <w:rPr>
                <w:rStyle w:val="86"/>
                <w:rFonts w:ascii="Times New Roman" w:hAnsi="Times New Roman" w:cs="Times New Roman"/>
              </w:rPr>
              <w:t>局部地图构建：无人机利用深度相机（RGBD）收集环境的深度图像，通过PCL（Point Cloud Library）将其转化为点云数据，采用基于深度相机的同步定位与构图技术（RGBD-SLAM）重构变电站局部三维环境。首先利用图像特征（如SURF、SIFT、ORB特征）进行初始的点云配对，图像特征求解的位姿作为点云配准算法的初始解。然后利用ICP算法</w:t>
            </w:r>
            <w:r>
              <w:rPr>
                <w:rStyle w:val="86"/>
                <w:rFonts w:hint="eastAsia" w:ascii="Times New Roman" w:hAnsi="Times New Roman" w:cs="Times New Roman"/>
              </w:rPr>
              <w:t>（算法流程如图</w:t>
            </w:r>
            <w:r>
              <w:rPr>
                <w:rStyle w:val="86"/>
                <w:rFonts w:ascii="Times New Roman" w:hAnsi="Times New Roman" w:cs="Times New Roman"/>
              </w:rPr>
              <w:t>4</w:t>
            </w:r>
            <w:r>
              <w:rPr>
                <w:rStyle w:val="86"/>
                <w:rFonts w:hint="eastAsia" w:ascii="Times New Roman" w:hAnsi="Times New Roman" w:cs="Times New Roman"/>
              </w:rPr>
              <w:t>所示）</w:t>
            </w:r>
            <w:r>
              <w:rPr>
                <w:rStyle w:val="86"/>
                <w:rFonts w:ascii="Times New Roman" w:hAnsi="Times New Roman" w:cs="Times New Roman"/>
              </w:rPr>
              <w:t>进行点云配准，估计相邻两帧点云之间无人机位姿变化，构建位姿图</w:t>
            </w:r>
            <w:r>
              <w:rPr>
                <w:rStyle w:val="86"/>
                <w:rFonts w:hint="eastAsia" w:ascii="Times New Roman" w:hAnsi="Times New Roman" w:cs="Times New Roman"/>
              </w:rPr>
              <w:t>（如图</w:t>
            </w:r>
            <w:r>
              <w:rPr>
                <w:rStyle w:val="86"/>
                <w:rFonts w:ascii="Times New Roman" w:hAnsi="Times New Roman" w:cs="Times New Roman"/>
              </w:rPr>
              <w:t>5</w:t>
            </w:r>
            <w:r>
              <w:rPr>
                <w:rStyle w:val="86"/>
                <w:rFonts w:hint="eastAsia" w:ascii="Times New Roman" w:hAnsi="Times New Roman" w:cs="Times New Roman"/>
              </w:rPr>
              <w:t>所示）</w:t>
            </w:r>
            <w:r>
              <w:rPr>
                <w:rStyle w:val="86"/>
                <w:rFonts w:ascii="Times New Roman" w:hAnsi="Times New Roman" w:cs="Times New Roman"/>
              </w:rPr>
              <w:t>。</w:t>
            </w:r>
          </w:p>
          <w:bookmarkEnd w:id="23"/>
          <w:p>
            <w:pPr>
              <w:spacing w:line="360" w:lineRule="auto"/>
              <w:jc w:val="center"/>
              <w:rPr>
                <w:rStyle w:val="86"/>
                <w:rFonts w:ascii="Times New Roman" w:hAnsi="Times New Roman" w:cs="Times New Roman"/>
                <w:sz w:val="21"/>
                <w:szCs w:val="21"/>
              </w:rPr>
            </w:pPr>
            <w:r>
              <w:rPr>
                <w:rStyle w:val="86"/>
                <w:rFonts w:hint="eastAsia" w:ascii="Times New Roman" w:hAnsi="Times New Roman" w:cs="Times New Roman"/>
              </w:rPr>
              <w:drawing>
                <wp:inline distT="0" distB="0" distL="0" distR="0">
                  <wp:extent cx="1865630" cy="2489200"/>
                  <wp:effectExtent l="0" t="0" r="12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99906" cy="2535246"/>
                          </a:xfrm>
                          <a:prstGeom prst="rect">
                            <a:avLst/>
                          </a:prstGeom>
                          <a:noFill/>
                          <a:ln>
                            <a:noFill/>
                          </a:ln>
                        </pic:spPr>
                      </pic:pic>
                    </a:graphicData>
                  </a:graphic>
                </wp:inline>
              </w:drawing>
            </w:r>
          </w:p>
          <w:p>
            <w:pPr>
              <w:spacing w:line="360" w:lineRule="auto"/>
              <w:jc w:val="center"/>
              <w:rPr>
                <w:rStyle w:val="86"/>
                <w:rFonts w:ascii="Times New Roman" w:hAnsi="Times New Roman" w:cs="Times New Roman"/>
                <w:sz w:val="21"/>
                <w:szCs w:val="21"/>
              </w:rPr>
            </w:pPr>
            <w:bookmarkStart w:id="24" w:name="_Hlk80189696"/>
            <w:r>
              <w:rPr>
                <w:rStyle w:val="86"/>
                <w:rFonts w:ascii="Times New Roman" w:hAnsi="Times New Roman" w:cs="Times New Roman"/>
                <w:sz w:val="21"/>
                <w:szCs w:val="21"/>
              </w:rPr>
              <w:t>图4 ICP算法流程图</w:t>
            </w:r>
          </w:p>
          <w:bookmarkEnd w:id="24"/>
          <w:p>
            <w:pPr>
              <w:spacing w:line="400" w:lineRule="exact"/>
              <w:ind w:firstLine="480" w:firstLineChars="200"/>
              <w:jc w:val="both"/>
              <w:rPr>
                <w:rStyle w:val="86"/>
                <w:rFonts w:ascii="Times New Roman" w:hAnsi="Times New Roman" w:cs="Times New Roman"/>
              </w:rPr>
            </w:pPr>
            <w:bookmarkStart w:id="25" w:name="_Hlk80189708"/>
            <w:r>
              <w:rPr>
                <w:rStyle w:val="86"/>
                <w:rFonts w:ascii="Times New Roman" w:hAnsi="Times New Roman" w:cs="Times New Roman"/>
              </w:rPr>
              <w:t>在位姿图中，</w:t>
            </w:r>
            <w:r>
              <w:rPr>
                <w:rStyle w:val="86"/>
                <w:rFonts w:cs="Times New Roman" w:asciiTheme="minorEastAsia" w:hAnsiTheme="minorEastAsia" w:eastAsiaTheme="minorEastAsia"/>
              </w:rPr>
              <w:t>“</w:t>
            </w:r>
            <w:r>
              <w:rPr>
                <w:rStyle w:val="86"/>
                <w:rFonts w:ascii="Times New Roman" w:hAnsi="Times New Roman" w:cs="Times New Roman"/>
              </w:rPr>
              <w:t>节点</w:t>
            </w:r>
            <w:r>
              <w:rPr>
                <w:rStyle w:val="86"/>
                <w:rFonts w:cs="Times New Roman"/>
              </w:rPr>
              <w:t>”</w:t>
            </w:r>
            <w:r>
              <w:rPr>
                <w:rStyle w:val="86"/>
                <w:rFonts w:ascii="Times New Roman" w:hAnsi="Times New Roman" w:cs="Times New Roman"/>
              </w:rPr>
              <w:t>表示无人机在某时刻的位姿，</w:t>
            </w:r>
            <w:r>
              <w:rPr>
                <w:rStyle w:val="86"/>
                <w:rFonts w:cs="Times New Roman"/>
              </w:rPr>
              <w:t>“</w:t>
            </w:r>
            <w:r>
              <w:rPr>
                <w:rStyle w:val="86"/>
                <w:rFonts w:ascii="Times New Roman" w:hAnsi="Times New Roman" w:cs="Times New Roman"/>
              </w:rPr>
              <w:t>边</w:t>
            </w:r>
            <w:r>
              <w:rPr>
                <w:rStyle w:val="86"/>
                <w:rFonts w:cs="Times New Roman"/>
              </w:rPr>
              <w:t>”</w:t>
            </w:r>
            <w:r>
              <w:rPr>
                <w:rStyle w:val="86"/>
                <w:rFonts w:ascii="Times New Roman" w:hAnsi="Times New Roman" w:cs="Times New Roman"/>
              </w:rPr>
              <w:t>表示不同时刻位姿之间的约束。位姿估计不可避免的会有累积误差，通过后端优化来获取最优位姿估计和地图，通常有基于滤波和图优化两种方法，但滤波的方法往往会求得次优解，本项目拟通过构建基于滑动窗口的位姿图优化算法，得到全局一致的轨迹和地图。</w:t>
            </w:r>
          </w:p>
          <w:bookmarkEnd w:id="25"/>
          <w:p>
            <w:pPr>
              <w:spacing w:line="360" w:lineRule="auto"/>
              <w:jc w:val="center"/>
              <w:rPr>
                <w:rStyle w:val="86"/>
                <w:rFonts w:ascii="Times New Roman" w:hAnsi="Times New Roman" w:cs="Times New Roman"/>
                <w:sz w:val="21"/>
                <w:szCs w:val="21"/>
              </w:rPr>
            </w:pPr>
            <w:r>
              <w:rPr>
                <w:rStyle w:val="86"/>
                <w:rFonts w:ascii="Times New Roman" w:hAnsi="Times New Roman" w:cs="Times New Roman"/>
                <w:sz w:val="21"/>
                <w:szCs w:val="21"/>
              </w:rPr>
              <w:drawing>
                <wp:inline distT="0" distB="0" distL="0" distR="0">
                  <wp:extent cx="1519555" cy="126301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59255" cy="1296389"/>
                          </a:xfrm>
                          <a:prstGeom prst="rect">
                            <a:avLst/>
                          </a:prstGeom>
                          <a:noFill/>
                        </pic:spPr>
                      </pic:pic>
                    </a:graphicData>
                  </a:graphic>
                </wp:inline>
              </w:drawing>
            </w:r>
          </w:p>
          <w:p>
            <w:pPr>
              <w:spacing w:line="360" w:lineRule="auto"/>
              <w:jc w:val="center"/>
              <w:rPr>
                <w:rStyle w:val="86"/>
                <w:rFonts w:ascii="Times New Roman" w:hAnsi="Times New Roman" w:cs="Times New Roman"/>
                <w:sz w:val="21"/>
                <w:szCs w:val="21"/>
              </w:rPr>
            </w:pPr>
            <w:bookmarkStart w:id="26" w:name="_Hlk80189732"/>
            <w:r>
              <w:rPr>
                <w:rStyle w:val="86"/>
                <w:rFonts w:hint="eastAsia" w:ascii="Times New Roman" w:hAnsi="Times New Roman" w:cs="Times New Roman"/>
                <w:sz w:val="21"/>
                <w:szCs w:val="21"/>
              </w:rPr>
              <w:t>图</w:t>
            </w:r>
            <w:r>
              <w:rPr>
                <w:rStyle w:val="86"/>
                <w:rFonts w:ascii="Times New Roman" w:hAnsi="Times New Roman" w:cs="Times New Roman"/>
                <w:sz w:val="21"/>
                <w:szCs w:val="21"/>
              </w:rPr>
              <w:t xml:space="preserve">5 </w:t>
            </w:r>
            <w:r>
              <w:rPr>
                <w:rStyle w:val="86"/>
                <w:rFonts w:hint="eastAsia" w:ascii="Times New Roman" w:hAnsi="Times New Roman" w:cs="Times New Roman"/>
                <w:sz w:val="21"/>
                <w:szCs w:val="21"/>
              </w:rPr>
              <w:t>位姿图</w:t>
            </w:r>
          </w:p>
          <w:p>
            <w:pPr>
              <w:spacing w:line="400" w:lineRule="exact"/>
              <w:ind w:firstLine="480" w:firstLineChars="200"/>
              <w:jc w:val="both"/>
              <w:rPr>
                <w:rFonts w:ascii="Times New Roman" w:hAnsi="Times New Roman" w:cs="Times New Roman"/>
                <w:sz w:val="24"/>
                <w:szCs w:val="24"/>
              </w:rPr>
            </w:pPr>
            <w:r>
              <w:rPr>
                <w:rStyle w:val="86"/>
                <w:rFonts w:ascii="Times New Roman" w:hAnsi="Times New Roman" w:cs="Times New Roman"/>
              </w:rPr>
              <w:t>位姿图优化原理阐述如下：如图4中，</w:t>
            </w:r>
            <w:r>
              <w:rPr>
                <w:rFonts w:ascii="Times New Roman" w:hAnsi="Times New Roman" w:cs="Times New Roman"/>
                <w:position w:val="-14"/>
              </w:rPr>
              <w:object>
                <v:shape id="_x0000_i1025" o:spt="75" type="#_x0000_t75" style="height:18.75pt;width:27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r>
              <w:rPr>
                <w:rFonts w:ascii="Times New Roman" w:hAnsi="Times New Roman" w:cs="Times New Roman"/>
              </w:rPr>
              <w:t>表示不同的位姿，</w:t>
            </w:r>
            <w:r>
              <w:rPr>
                <w:rFonts w:ascii="Times New Roman" w:hAnsi="Times New Roman" w:cs="Times New Roman"/>
                <w:position w:val="-14"/>
              </w:rPr>
              <w:object>
                <v:shape id="_x0000_i1026" o:spt="75" type="#_x0000_t75" style="height:18.75pt;width:13.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rPr>
                <w:rFonts w:ascii="Times New Roman" w:hAnsi="Times New Roman" w:cs="Times New Roman"/>
              </w:rPr>
              <w:t>表示对位姿</w:t>
            </w:r>
            <w:r>
              <w:rPr>
                <w:rFonts w:ascii="Times New Roman" w:hAnsi="Times New Roman" w:cs="Times New Roman"/>
                <w:position w:val="-12"/>
              </w:rPr>
              <w:object>
                <v:shape id="_x0000_i1027" o:spt="75" type="#_x0000_t75" style="height:18pt;width:12pt;" o:ole="t" filled="f" o:preferrelative="t" stroked="f" coordsize="21600,21600">
                  <v:path/>
                  <v:fill on="f" focussize="0,0"/>
                  <v:stroke on="f" joinstyle="miter"/>
                  <v:imagedata r:id="rId14" o:title=""/>
                  <o:lock v:ext="edit" aspectratio="t"/>
                  <w10:wrap type="none"/>
                  <w10:anchorlock/>
                </v:shape>
                <o:OLEObject Type="Embed" ProgID="Equation.DSMT4" ShapeID="_x0000_i1027" DrawAspect="Content" ObjectID="_1468075727" r:id="rId13">
                  <o:LockedField>false</o:LockedField>
                </o:OLEObject>
              </w:object>
            </w:r>
            <w:r>
              <w:rPr>
                <w:rFonts w:ascii="Times New Roman" w:hAnsi="Times New Roman" w:cs="Times New Roman"/>
              </w:rPr>
              <w:t>和位姿</w:t>
            </w:r>
            <w:r>
              <w:rPr>
                <w:rFonts w:ascii="Times New Roman" w:hAnsi="Times New Roman" w:cs="Times New Roman"/>
                <w:position w:val="-14"/>
              </w:rPr>
              <w:object>
                <v:shape id="_x0000_i1028" o:spt="75" type="#_x0000_t75" style="height:18.75pt;width:13.5pt;" o:ole="t" filled="f" o:preferrelative="t" stroked="f" coordsize="21600,21600">
                  <v:path/>
                  <v:fill on="f" focussize="0,0"/>
                  <v:stroke on="f" joinstyle="miter"/>
                  <v:imagedata r:id="rId16" o:title=""/>
                  <o:lock v:ext="edit" aspectratio="t"/>
                  <w10:wrap type="none"/>
                  <w10:anchorlock/>
                </v:shape>
                <o:OLEObject Type="Embed" ProgID="Equation.DSMT4" ShapeID="_x0000_i1028" DrawAspect="Content" ObjectID="_1468075728" r:id="rId15">
                  <o:LockedField>false</o:LockedField>
                </o:OLEObject>
              </w:object>
            </w:r>
            <w:r>
              <w:rPr>
                <w:rFonts w:ascii="Times New Roman" w:hAnsi="Times New Roman" w:cs="Times New Roman"/>
              </w:rPr>
              <w:t>之间转换关系的观测，在</w:t>
            </w:r>
            <w:r>
              <w:rPr>
                <w:rFonts w:ascii="Times New Roman" w:hAnsi="Times New Roman" w:eastAsia="方正书宋_GBK" w:cs="Times New Roman"/>
                <w:color w:val="000000"/>
              </w:rPr>
              <w:t>数学上表现为一个约束方程。</w:t>
            </w:r>
            <w:r>
              <w:rPr>
                <w:rFonts w:ascii="Times New Roman" w:hAnsi="Times New Roman" w:cs="Times New Roman"/>
              </w:rPr>
              <w:t>由于观测存在一定的误差，记为</w:t>
            </w:r>
            <w:r>
              <w:rPr>
                <w:rFonts w:ascii="Times New Roman" w:hAnsi="Times New Roman" w:cs="Times New Roman"/>
                <w:position w:val="-14"/>
              </w:rPr>
              <w:object>
                <v:shape id="_x0000_i1029" o:spt="75" type="#_x0000_t75" style="height:18.75pt;width:62.25pt;" o:ole="t" filled="f" o:preferrelative="t" stroked="f" coordsize="21600,21600">
                  <v:path/>
                  <v:fill on="f" focussize="0,0"/>
                  <v:stroke on="f" joinstyle="miter"/>
                  <v:imagedata r:id="rId18" o:title=""/>
                  <o:lock v:ext="edit" aspectratio="t"/>
                  <w10:wrap type="none"/>
                  <w10:anchorlock/>
                </v:shape>
                <o:OLEObject Type="Embed" ProgID="Equation.DSMT4" ShapeID="_x0000_i1029" DrawAspect="Content" ObjectID="_1468075729" r:id="rId17">
                  <o:LockedField>false</o:LockedField>
                </o:OLEObject>
              </w:object>
            </w:r>
            <w:r>
              <w:rPr>
                <w:rFonts w:ascii="Times New Roman" w:hAnsi="Times New Roman" w:cs="Times New Roman"/>
              </w:rPr>
              <w:t>，如图4中，将所有的误差项相加得到总体误差函数</w:t>
            </w:r>
            <w:r>
              <w:rPr>
                <w:rFonts w:ascii="Times New Roman" w:hAnsi="Times New Roman" w:cs="Times New Roman"/>
                <w:sz w:val="24"/>
                <w:szCs w:val="24"/>
              </w:rPr>
              <w:t>通用形式</w:t>
            </w:r>
            <w:r>
              <w:rPr>
                <w:rFonts w:ascii="Times New Roman" w:hAnsi="Times New Roman" w:cs="Times New Roman"/>
              </w:rPr>
              <w:t>为</w:t>
            </w:r>
            <w:r>
              <w:rPr>
                <w:rFonts w:ascii="Times New Roman" w:hAnsi="Times New Roman" w:cs="Times New Roman"/>
                <w:sz w:val="24"/>
                <w:szCs w:val="24"/>
              </w:rPr>
              <w:t xml:space="preserve">   </w:t>
            </w:r>
          </w:p>
          <w:p>
            <w:pPr>
              <w:wordWrap w:val="0"/>
              <w:jc w:val="right"/>
            </w:pPr>
            <w:r>
              <w:rPr>
                <w:position w:val="-24"/>
              </w:rPr>
              <w:object>
                <v:shape id="_x0000_i1032" o:spt="75" type="#_x0000_t75" style="height:27.75pt;width:184.5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0" r:id="rId19">
                  <o:LockedField>false</o:LockedField>
                </o:OLEObject>
              </w:object>
            </w:r>
            <w:r>
              <w:t xml:space="preserve">.                </w:t>
            </w:r>
            <w:r>
              <w:rPr>
                <w:rFonts w:hint="eastAsia"/>
              </w:rPr>
              <w:t xml:space="preserve">（2） </w:t>
            </w:r>
            <w:r>
              <w:t xml:space="preserve"> </w:t>
            </w:r>
          </w:p>
          <w:p>
            <w:pPr>
              <w:ind w:firstLine="480" w:firstLineChars="200"/>
              <w:jc w:val="both"/>
              <w:rPr>
                <w:rFonts w:ascii="Times New Roman" w:hAnsi="Times New Roman" w:cs="Times New Roman"/>
              </w:rPr>
            </w:pPr>
            <w:r>
              <w:rPr>
                <w:rFonts w:ascii="Times New Roman" w:hAnsi="Times New Roman" w:cs="Times New Roman"/>
              </w:rPr>
              <w:t>式</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即为</w:t>
            </w:r>
            <w:r>
              <w:rPr>
                <w:rFonts w:hint="eastAsia" w:ascii="Times New Roman" w:hAnsi="Times New Roman" w:cs="Times New Roman"/>
              </w:rPr>
              <w:t>最终</w:t>
            </w:r>
            <w:r>
              <w:rPr>
                <w:rFonts w:ascii="Times New Roman" w:hAnsi="Times New Roman" w:cs="Times New Roman"/>
              </w:rPr>
              <w:t>目标函数，</w:t>
            </w:r>
            <w:r>
              <w:rPr>
                <w:rFonts w:hint="eastAsia" w:ascii="Times New Roman" w:hAnsi="Times New Roman" w:cs="Times New Roman"/>
              </w:rPr>
              <w:t>其</w:t>
            </w:r>
            <w:r>
              <w:rPr>
                <w:rFonts w:hint="eastAsia" w:ascii="Times New Roman" w:hAnsi="Times New Roman" w:cs="Times New Roman"/>
                <w:lang w:val="en-US" w:eastAsia="zh-CN"/>
              </w:rPr>
              <w:t>中</w:t>
            </w:r>
            <w:r>
              <w:rPr>
                <w:rFonts w:ascii="Times New Roman" w:hAnsi="Times New Roman" w:cs="Times New Roman"/>
                <w:position w:val="-14"/>
                <w:sz w:val="24"/>
                <w:szCs w:val="24"/>
              </w:rPr>
              <w:object>
                <v:shape id="_x0000_i1056" o:spt="75" type="#_x0000_t75" style="height:18.75pt;width:17.25pt;" o:ole="t" filled="f" o:preferrelative="t" stroked="f" coordsize="21600,21600">
                  <v:path/>
                  <v:fill on="f" focussize="0,0"/>
                  <v:stroke on="f" joinstyle="miter"/>
                  <v:imagedata r:id="rId22" o:title=""/>
                  <o:lock v:ext="edit" aspectratio="t"/>
                  <w10:wrap type="none"/>
                  <w10:anchorlock/>
                </v:shape>
                <o:OLEObject Type="Embed" ProgID="Equation.DSMT4" ShapeID="_x0000_i1056" DrawAspect="Content" ObjectID="_1468075731" r:id="rId21">
                  <o:LockedField>false</o:LockedField>
                </o:OLEObject>
              </w:object>
            </w:r>
            <w:r>
              <w:rPr>
                <w:rFonts w:ascii="Times New Roman" w:hAnsi="Times New Roman" w:cs="Times New Roman"/>
                <w:sz w:val="24"/>
                <w:szCs w:val="24"/>
              </w:rPr>
              <w:t>表示观测的协方差</w:t>
            </w:r>
            <w:r>
              <w:rPr>
                <w:rFonts w:hint="eastAsia" w:ascii="Times New Roman" w:hAnsi="Times New Roman" w:cs="Times New Roman"/>
                <w:sz w:val="24"/>
                <w:szCs w:val="24"/>
                <w:lang w:eastAsia="zh-CN"/>
              </w:rPr>
              <w:t>，</w:t>
            </w:r>
            <w:r>
              <w:rPr>
                <w:rFonts w:ascii="Times New Roman" w:hAnsi="Times New Roman" w:cs="Times New Roman"/>
                <w:position w:val="-6"/>
              </w:rPr>
              <w:object>
                <v:shape id="_x0000_i1033" o:spt="75" type="#_x0000_t75" style="height:13.5pt;width:12pt;" o:ole="t" filled="f" o:preferrelative="t" stroked="f" coordsize="21600,21600">
                  <v:path/>
                  <v:fill on="f" focussize="0,0"/>
                  <v:stroke on="f" joinstyle="miter"/>
                  <v:imagedata r:id="rId24" o:title=""/>
                  <o:lock v:ext="edit" aspectratio="t"/>
                  <w10:wrap type="none"/>
                  <w10:anchorlock/>
                </v:shape>
                <o:OLEObject Type="Embed" ProgID="Equation.DSMT4" ShapeID="_x0000_i1033" DrawAspect="Content" ObjectID="_1468075732" r:id="rId23">
                  <o:LockedField>false</o:LockedField>
                </o:OLEObject>
              </w:object>
            </w:r>
            <w:r>
              <w:rPr>
                <w:rFonts w:ascii="Times New Roman" w:hAnsi="Times New Roman" w:cs="Times New Roman"/>
              </w:rPr>
              <w:t>表示</w:t>
            </w:r>
            <w:r>
              <w:rPr>
                <w:rFonts w:hint="eastAsia" w:ascii="Times New Roman" w:hAnsi="Times New Roman" w:cs="Times New Roman"/>
              </w:rPr>
              <w:t>位姿图中</w:t>
            </w:r>
            <w:r>
              <w:rPr>
                <w:rFonts w:ascii="Times New Roman" w:hAnsi="Times New Roman" w:cs="Times New Roman"/>
              </w:rPr>
              <w:t>所有节点之间存在约束的索引集合，通过如下方程求解位姿</w:t>
            </w:r>
            <w:r>
              <w:rPr>
                <w:rFonts w:hint="eastAsia" w:ascii="Times New Roman" w:hAnsi="Times New Roman" w:cs="Times New Roman"/>
              </w:rPr>
              <w:t>。</w:t>
            </w:r>
          </w:p>
          <w:p>
            <w:pPr>
              <w:wordWrap w:val="0"/>
              <w:jc w:val="right"/>
              <w:rPr>
                <w:rStyle w:val="86"/>
                <w:rFonts w:ascii="Times New Roman" w:hAnsi="Times New Roman" w:cs="Times New Roman"/>
                <w:sz w:val="21"/>
                <w:szCs w:val="21"/>
              </w:rPr>
            </w:pPr>
            <w:r>
              <w:rPr>
                <w:position w:val="-20"/>
              </w:rPr>
              <w:object>
                <v:shape id="_x0000_i1034" o:spt="75" type="#_x0000_t75" style="height:22.5pt;width:67.5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3" r:id="rId25">
                  <o:LockedField>false</o:LockedField>
                </o:OLEObject>
              </w:object>
            </w:r>
            <w:r>
              <w:rPr>
                <w:rFonts w:hint="eastAsia"/>
              </w:rPr>
              <w:t>.</w:t>
            </w:r>
            <w:r>
              <w:t xml:space="preserve">                              </w:t>
            </w:r>
            <w:r>
              <w:rPr>
                <w:rFonts w:hint="eastAsia"/>
              </w:rPr>
              <w:t xml:space="preserve">（3） </w:t>
            </w:r>
            <w:r>
              <w:t xml:space="preserve"> </w:t>
            </w:r>
          </w:p>
          <w:p>
            <w:pPr>
              <w:spacing w:line="400" w:lineRule="exact"/>
              <w:ind w:firstLine="480" w:firstLineChars="200"/>
              <w:jc w:val="both"/>
              <w:rPr>
                <w:rStyle w:val="86"/>
                <w:rFonts w:ascii="Times New Roman" w:hAnsi="Times New Roman" w:cs="Times New Roman"/>
              </w:rPr>
            </w:pPr>
            <w:r>
              <w:rPr>
                <w:rStyle w:val="86"/>
                <w:rFonts w:hint="eastAsia"/>
              </w:rPr>
              <w:t>②</w:t>
            </w:r>
            <w:r>
              <w:rPr>
                <w:rStyle w:val="86"/>
                <w:rFonts w:ascii="Times New Roman" w:hAnsi="Times New Roman" w:cs="Times New Roman"/>
              </w:rPr>
              <w:t>多传感器融合定位：在已有地图的基础上，利用多个传感器收集的数据融合求解无人机的位姿。本项目拟采用基于时间驱动的数据融合方法，考虑了某时刻观测源的可得性，当某观测源不可得时，将通过内推或外推算法计算当前时间点时该观测源信息。与建图时相同，构建基于滑动窗的位姿图，对位姿图进行优化。基于滑动窗的位姿图优化可以维护一段时间内无人机的位姿，通过动态增加或移除优化变量，有效的平衡计算效率和计算精度，从而实现高精度地、实时地位姿估计。</w:t>
            </w:r>
          </w:p>
          <w:p>
            <w:pPr>
              <w:spacing w:line="400" w:lineRule="exact"/>
              <w:ind w:firstLine="480" w:firstLineChars="200"/>
              <w:jc w:val="both"/>
              <w:rPr>
                <w:rStyle w:val="86"/>
                <w:rFonts w:ascii="Times New Roman" w:hAnsi="Times New Roman" w:cs="Times New Roman"/>
              </w:rPr>
            </w:pPr>
            <w:r>
              <w:rPr>
                <w:rStyle w:val="86"/>
                <w:rFonts w:hint="eastAsia"/>
              </w:rPr>
              <w:t>③</w:t>
            </w:r>
            <w:r>
              <w:rPr>
                <w:rStyle w:val="86"/>
                <w:rFonts w:ascii="Times New Roman" w:hAnsi="Times New Roman" w:cs="Times New Roman"/>
              </w:rPr>
              <w:t>导航避障：在避障策略上，利用深度相机为无人机建立</w:t>
            </w:r>
            <w:r>
              <w:rPr>
                <w:rStyle w:val="86"/>
                <w:rFonts w:hint="eastAsia" w:ascii="Times New Roman" w:hAnsi="Times New Roman" w:cs="Times New Roman"/>
              </w:rPr>
              <w:t>“</w:t>
            </w:r>
            <w:r>
              <w:rPr>
                <w:rStyle w:val="86"/>
                <w:rFonts w:ascii="Times New Roman" w:hAnsi="Times New Roman" w:cs="Times New Roman"/>
              </w:rPr>
              <w:t>感知圆柱</w:t>
            </w:r>
            <w:r>
              <w:rPr>
                <w:rStyle w:val="86"/>
                <w:rFonts w:hint="eastAsia" w:ascii="Times New Roman" w:hAnsi="Times New Roman" w:cs="Times New Roman"/>
              </w:rPr>
              <w:t>”</w:t>
            </w:r>
            <w:r>
              <w:rPr>
                <w:rStyle w:val="86"/>
                <w:rFonts w:ascii="Times New Roman" w:hAnsi="Times New Roman" w:cs="Times New Roman"/>
              </w:rPr>
              <w:t>，对所感知环境的三维点云的径向、高程方向进行可行性分析，构建逼近目标行为、避障行为的多行为避障算法，以确定无人机的航向与速度。</w:t>
            </w:r>
          </w:p>
          <w:bookmarkEnd w:id="21"/>
          <w:p>
            <w:pPr>
              <w:widowControl w:val="0"/>
              <w:spacing w:line="400" w:lineRule="exact"/>
              <w:ind w:firstLine="482" w:firstLineChars="200"/>
              <w:jc w:val="both"/>
              <w:rPr>
                <w:rFonts w:ascii="Times New Roman" w:hAnsi="Times New Roman" w:cs="Times New Roman"/>
                <w:b/>
                <w:kern w:val="2"/>
              </w:rPr>
            </w:pPr>
            <w:r>
              <w:rPr>
                <w:rFonts w:ascii="Times New Roman" w:hAnsi="Times New Roman" w:cs="Times New Roman"/>
                <w:b/>
                <w:kern w:val="2"/>
                <w:lang w:bidi="ar"/>
              </w:rPr>
              <w:t>（2）震后变电站场景的无人机图像复原与增强技术</w:t>
            </w:r>
          </w:p>
          <w:p>
            <w:pPr>
              <w:spacing w:line="400" w:lineRule="exact"/>
              <w:ind w:firstLine="480" w:firstLineChars="200"/>
              <w:rPr>
                <w:rFonts w:ascii="Times New Roman" w:hAnsi="Times New Roman" w:cs="Times New Roman"/>
              </w:rPr>
            </w:pPr>
            <w:r>
              <w:rPr>
                <w:rFonts w:ascii="Times New Roman" w:hAnsi="Times New Roman" w:cs="Times New Roman"/>
              </w:rPr>
              <w:t>针对震后变电站图像的多种退化可能，</w:t>
            </w:r>
            <w:r>
              <w:rPr>
                <w:rFonts w:hint="eastAsia" w:ascii="Times New Roman" w:hAnsi="Times New Roman" w:cs="Times New Roman"/>
              </w:rPr>
              <w:t>本项目</w:t>
            </w:r>
            <w:r>
              <w:rPr>
                <w:rFonts w:ascii="Times New Roman" w:hAnsi="Times New Roman" w:cs="Times New Roman"/>
              </w:rPr>
              <w:t>拟使用神经网络结构搜索技术结合生成对抗网络实现对图像的复原与增强。根据不同底层视觉任务对应的物理规则设计多个编码器，从子任务编码器获取的图像特征将被输入至特征搜索空间中处理以生成清晰图像，再由生成对抗网络的判别器鉴别生成图像的正确性，并对图像进行子任务分类，各分类的损失仅会反向传播至对应的子任务编码器。网络模型可以表示为公式</w:t>
            </w:r>
            <w:r>
              <w:rPr>
                <w:rFonts w:hint="eastAsia" w:ascii="Times New Roman" w:hAnsi="Times New Roman" w:cs="Times New Roman"/>
              </w:rPr>
              <w:t>（</w:t>
            </w:r>
            <w:r>
              <w:rPr>
                <w:rFonts w:ascii="Times New Roman" w:hAnsi="Times New Roman" w:cs="Times New Roman"/>
              </w:rPr>
              <w:t>4</w:t>
            </w:r>
            <w:r>
              <w:rPr>
                <w:rFonts w:hint="eastAsia" w:ascii="Times New Roman" w:hAnsi="Times New Roman" w:cs="Times New Roman"/>
              </w:rPr>
              <w:t>）</w:t>
            </w:r>
            <w:r>
              <w:rPr>
                <w:rFonts w:ascii="Times New Roman" w:hAnsi="Times New Roman" w:cs="Times New Roman"/>
              </w:rPr>
              <w:t>：</w:t>
            </w:r>
          </w:p>
          <w:bookmarkEnd w:id="26"/>
          <w:p>
            <w:pPr>
              <w:tabs>
                <w:tab w:val="center" w:pos="4160"/>
                <w:tab w:val="right" w:pos="8300"/>
              </w:tabs>
              <w:wordWrap w:val="0"/>
              <w:ind w:firstLine="2880" w:firstLineChars="1200"/>
              <w:jc w:val="right"/>
              <w:rPr>
                <w:rFonts w:ascii="Times New Roman" w:hAnsi="Times New Roman" w:cs="Times New Roman"/>
              </w:rPr>
            </w:pPr>
            <w:bookmarkStart w:id="27" w:name="_Hlk80189766"/>
            <w:r>
              <w:rPr>
                <w:rFonts w:ascii="Times New Roman" w:hAnsi="Times New Roman" w:cs="Times New Roman"/>
                <w:position w:val="-16"/>
              </w:rPr>
              <w:object>
                <v:shape id="_x0000_i1035" o:spt="75" type="#_x0000_t75" style="height:22.5pt;width:105.75pt;" o:ole="t" filled="f" o:preferrelative="t" stroked="f" coordsize="21600,21600">
                  <v:path/>
                  <v:fill on="f" focussize="0,0"/>
                  <v:stroke on="f" joinstyle="miter"/>
                  <v:imagedata r:id="rId28" o:title=""/>
                  <o:lock v:ext="edit" aspectratio="t"/>
                  <w10:wrap type="none"/>
                  <w10:anchorlock/>
                </v:shape>
                <o:OLEObject Type="Embed" ProgID="Equation.DSMT4" ShapeID="_x0000_i1035" DrawAspect="Content" ObjectID="_1468075734" r:id="rId27">
                  <o:LockedField>false</o:LockedField>
                </o:OLEObject>
              </w:object>
            </w:r>
            <w:r>
              <w:rPr>
                <w:rFonts w:cs="Times New Roman" w:asciiTheme="minorEastAsia" w:hAnsiTheme="minorEastAsia" w:eastAsiaTheme="minorEastAsia"/>
              </w:rPr>
              <w:t xml:space="preserve">                              </w:t>
            </w:r>
            <w:r>
              <w:rPr>
                <w:rFonts w:hint="eastAsia" w:ascii="Times New Roman" w:hAnsi="Times New Roman" w:cs="Times New Roman"/>
              </w:rPr>
              <w:t>（4）</w:t>
            </w:r>
            <w:r>
              <w:rPr>
                <w:rFonts w:ascii="Times New Roman" w:hAnsi="Times New Roman" w:cs="Times New Roman"/>
              </w:rPr>
              <w:t xml:space="preserve">    </w:t>
            </w:r>
          </w:p>
          <w:p>
            <w:pPr>
              <w:spacing w:line="400" w:lineRule="exact"/>
              <w:rPr>
                <w:rFonts w:ascii="Times New Roman" w:hAnsi="Times New Roman" w:cs="Times New Roman"/>
              </w:rPr>
            </w:pPr>
            <w:r>
              <w:rPr>
                <w:rFonts w:ascii="Times New Roman" w:hAnsi="Times New Roman" w:cs="Times New Roman"/>
              </w:rPr>
              <w:t>其中</w:t>
            </w:r>
            <w:r>
              <w:rPr>
                <w:rFonts w:ascii="Times New Roman" w:hAnsi="Times New Roman" w:cs="Times New Roman"/>
                <w:position w:val="-14"/>
              </w:rPr>
              <w:object>
                <v:shape id="_x0000_i1036" o:spt="75" type="#_x0000_t75" style="height:18.75pt;width:13.5pt;" o:ole="t" filled="f" o:preferrelative="t" stroked="f" coordsize="21600,21600">
                  <v:path/>
                  <v:fill on="f" focussize="0,0"/>
                  <v:stroke on="f" joinstyle="miter"/>
                  <v:imagedata r:id="rId30" o:title=""/>
                  <o:lock v:ext="edit" aspectratio="t"/>
                  <w10:wrap type="none"/>
                  <w10:anchorlock/>
                </v:shape>
                <o:OLEObject Type="Embed" ProgID="Equation.DSMT4" ShapeID="_x0000_i1036" DrawAspect="Content" ObjectID="_1468075735" r:id="rId29">
                  <o:LockedField>false</o:LockedField>
                </o:OLEObject>
              </w:object>
            </w:r>
            <w:r>
              <w:rPr>
                <w:rFonts w:ascii="Times New Roman" w:hAnsi="Times New Roman" w:cs="Times New Roman"/>
              </w:rPr>
              <w:t>代表退化类型</w:t>
            </w:r>
            <w:r>
              <w:rPr>
                <w:rFonts w:ascii="Times New Roman" w:hAnsi="Times New Roman" w:cs="Times New Roman"/>
                <w:position w:val="-10"/>
              </w:rPr>
              <w:object>
                <v:shape id="_x0000_i1037" o:spt="75" type="#_x0000_t75" style="height:13.5pt;width:12pt;" o:ole="t" filled="f" o:preferrelative="t" stroked="f" coordsize="21600,21600">
                  <v:path/>
                  <v:fill on="f" focussize="0,0"/>
                  <v:stroke on="f" joinstyle="miter"/>
                  <v:imagedata r:id="rId32" o:title=""/>
                  <o:lock v:ext="edit" aspectratio="t"/>
                  <w10:wrap type="none"/>
                  <w10:anchorlock/>
                </v:shape>
                <o:OLEObject Type="Embed" ProgID="Equation.DSMT4" ShapeID="_x0000_i1037" DrawAspect="Content" ObjectID="_1468075736" r:id="rId31">
                  <o:LockedField>false</o:LockedField>
                </o:OLEObject>
              </w:object>
            </w:r>
            <w:r>
              <w:rPr>
                <w:rFonts w:ascii="Times New Roman" w:hAnsi="Times New Roman" w:cs="Times New Roman"/>
              </w:rPr>
              <w:t>对应的编码器，</w:t>
            </w:r>
            <w:r>
              <w:rPr>
                <w:rFonts w:ascii="Times New Roman" w:hAnsi="Times New Roman" w:cs="Times New Roman"/>
                <w:position w:val="-14"/>
              </w:rPr>
              <w:object>
                <v:shape id="_x0000_i1038" o:spt="75" type="#_x0000_t75" style="height:18.75pt;width:13.5pt;" o:ole="t" filled="f" o:preferrelative="t" stroked="f" coordsize="21600,21600">
                  <v:path/>
                  <v:fill on="f" focussize="0,0"/>
                  <v:stroke on="f" joinstyle="miter"/>
                  <v:imagedata r:id="rId34" o:title=""/>
                  <o:lock v:ext="edit" aspectratio="t"/>
                  <w10:wrap type="none"/>
                  <w10:anchorlock/>
                </v:shape>
                <o:OLEObject Type="Embed" ProgID="Equation.DSMT4" ShapeID="_x0000_i1038" DrawAspect="Content" ObjectID="_1468075737" r:id="rId33">
                  <o:LockedField>false</o:LockedField>
                </o:OLEObject>
              </w:object>
            </w:r>
            <w:r>
              <w:rPr>
                <w:rFonts w:ascii="Times New Roman" w:hAnsi="Times New Roman" w:cs="Times New Roman"/>
              </w:rPr>
              <w:t>代表具有退化类型</w:t>
            </w:r>
            <w:r>
              <w:rPr>
                <w:rFonts w:ascii="Times New Roman" w:hAnsi="Times New Roman" w:cs="Times New Roman"/>
                <w:position w:val="-10"/>
              </w:rPr>
              <w:object>
                <v:shape id="_x0000_i1039" o:spt="75" type="#_x0000_t75" style="height:13.5pt;width:12pt;" o:ole="t" filled="f" o:preferrelative="t" stroked="f" coordsize="21600,21600">
                  <v:path/>
                  <v:fill on="f" focussize="0,0"/>
                  <v:stroke on="f" joinstyle="miter"/>
                  <v:imagedata r:id="rId36" o:title=""/>
                  <o:lock v:ext="edit" aspectratio="t"/>
                  <w10:wrap type="none"/>
                  <w10:anchorlock/>
                </v:shape>
                <o:OLEObject Type="Embed" ProgID="Equation.DSMT4" ShapeID="_x0000_i1039" DrawAspect="Content" ObjectID="_1468075738" r:id="rId35">
                  <o:LockedField>false</o:LockedField>
                </o:OLEObject>
              </w:object>
            </w:r>
            <w:r>
              <w:rPr>
                <w:rFonts w:ascii="Times New Roman" w:hAnsi="Times New Roman" w:cs="Times New Roman"/>
              </w:rPr>
              <w:t>的图像，</w:t>
            </w:r>
            <w:r>
              <w:rPr>
                <w:rFonts w:ascii="Times New Roman" w:hAnsi="Times New Roman" w:cs="Times New Roman"/>
                <w:position w:val="-8"/>
              </w:rPr>
              <w:object>
                <v:shape id="_x0000_i1040" o:spt="75" type="#_x0000_t75" style="height:15pt;width:11.25pt;" o:ole="t" filled="f" o:preferrelative="t" stroked="f" coordsize="21600,21600">
                  <v:path/>
                  <v:fill on="f" focussize="0,0"/>
                  <v:stroke on="f" joinstyle="miter"/>
                  <v:imagedata r:id="rId38" o:title=""/>
                  <o:lock v:ext="edit" aspectratio="t"/>
                  <w10:wrap type="none"/>
                  <w10:anchorlock/>
                </v:shape>
                <o:OLEObject Type="Embed" ProgID="Equation.DSMT4" ShapeID="_x0000_i1040" DrawAspect="Content" ObjectID="_1468075739" r:id="rId37">
                  <o:LockedField>false</o:LockedField>
                </o:OLEObject>
              </w:object>
            </w:r>
            <w:r>
              <w:rPr>
                <w:rFonts w:ascii="Times New Roman" w:hAnsi="Times New Roman" w:cs="Times New Roman"/>
              </w:rPr>
              <w:t>代表通用解码器。以镜头附着雨滴的退化类型为例，给出背后的物理规则：</w:t>
            </w:r>
          </w:p>
          <w:p>
            <w:pPr>
              <w:wordWrap w:val="0"/>
              <w:ind w:firstLine="2640" w:firstLineChars="1100"/>
              <w:jc w:val="right"/>
              <w:rPr>
                <w:rFonts w:ascii="Times New Roman" w:hAnsi="Times New Roman" w:cs="Times New Roman"/>
              </w:rPr>
            </w:pPr>
            <w:r>
              <w:rPr>
                <w:rFonts w:ascii="Times New Roman" w:hAnsi="Times New Roman" w:cs="Times New Roman"/>
                <w:position w:val="-10"/>
              </w:rPr>
              <w:object>
                <v:shape id="_x0000_i1041" o:spt="75" type="#_x0000_t75" style="height:16.5pt;width:140.25pt;" o:ole="t" filled="f" o:preferrelative="t" stroked="f" coordsize="21600,21600">
                  <v:path/>
                  <v:fill on="f" focussize="0,0"/>
                  <v:stroke on="f" joinstyle="miter"/>
                  <v:imagedata r:id="rId40" o:title=""/>
                  <o:lock v:ext="edit" aspectratio="t"/>
                  <w10:wrap type="none"/>
                  <w10:anchorlock/>
                </v:shape>
                <o:OLEObject Type="Embed" ProgID="Equation.DSMT4" ShapeID="_x0000_i1041" DrawAspect="Content" ObjectID="_1468075740" r:id="rId39">
                  <o:LockedField>false</o:LockedField>
                </o:OLEObject>
              </w:object>
            </w:r>
            <w:r>
              <w:rPr>
                <w:rFonts w:cs="Times New Roman"/>
              </w:rPr>
              <w:t xml:space="preserve">                        </w:t>
            </w:r>
            <w:r>
              <w:rPr>
                <w:rFonts w:hint="eastAsia" w:cs="Times New Roman"/>
              </w:rPr>
              <w:t xml:space="preserve">（5） </w:t>
            </w:r>
            <w:r>
              <w:rPr>
                <w:rFonts w:cs="Times New Roman"/>
              </w:rPr>
              <w:t xml:space="preserve"> </w:t>
            </w:r>
          </w:p>
          <w:p>
            <w:pPr>
              <w:spacing w:line="400" w:lineRule="exact"/>
              <w:rPr>
                <w:rFonts w:ascii="Times New Roman" w:hAnsi="Times New Roman" w:cs="Times New Roman"/>
              </w:rPr>
            </w:pPr>
            <w:r>
              <w:rPr>
                <w:rFonts w:ascii="Times New Roman" w:hAnsi="Times New Roman" w:cs="Times New Roman"/>
              </w:rPr>
              <w:t>其中</w:t>
            </w:r>
            <w:r>
              <w:rPr>
                <w:rFonts w:ascii="Times New Roman" w:hAnsi="Times New Roman" w:cs="Times New Roman"/>
                <w:position w:val="-4"/>
              </w:rPr>
              <w:object>
                <v:shape id="_x0000_i1042" o:spt="75" type="#_x0000_t75" style="height:13.5pt;width:8.25pt;" o:ole="t" filled="f" o:preferrelative="t" stroked="f" coordsize="21600,21600">
                  <v:path/>
                  <v:fill on="f" focussize="0,0"/>
                  <v:stroke on="f" joinstyle="miter"/>
                  <v:imagedata r:id="rId42" o:title=""/>
                  <o:lock v:ext="edit" aspectratio="t"/>
                  <w10:wrap type="none"/>
                  <w10:anchorlock/>
                </v:shape>
                <o:OLEObject Type="Embed" ProgID="Equation.DSMT4" ShapeID="_x0000_i1042" DrawAspect="Content" ObjectID="_1468075741" r:id="rId41">
                  <o:LockedField>false</o:LockedField>
                </o:OLEObject>
              </w:object>
            </w:r>
            <w:r>
              <w:rPr>
                <w:rFonts w:ascii="Times New Roman" w:hAnsi="Times New Roman" w:cs="Times New Roman"/>
              </w:rPr>
              <w:t>代表雨滴，</w:t>
            </w:r>
            <w:r>
              <w:rPr>
                <w:rFonts w:ascii="Times New Roman" w:hAnsi="Times New Roman" w:cs="Times New Roman"/>
                <w:position w:val="-4"/>
              </w:rPr>
              <w:object>
                <v:shape id="_x0000_i1043" o:spt="75" type="#_x0000_t75" style="height:13.5pt;width:15pt;" o:ole="t" filled="f" o:preferrelative="t" stroked="f" coordsize="21600,21600">
                  <v:path/>
                  <v:fill on="f" focussize="0,0"/>
                  <v:stroke on="f" joinstyle="miter"/>
                  <v:imagedata r:id="rId44" o:title=""/>
                  <o:lock v:ext="edit" aspectratio="t"/>
                  <w10:wrap type="none"/>
                  <w10:anchorlock/>
                </v:shape>
                <o:OLEObject Type="Embed" ProgID="Equation.DSMT4" ShapeID="_x0000_i1043" DrawAspect="Content" ObjectID="_1468075742" r:id="rId43">
                  <o:LockedField>false</o:LockedField>
                </o:OLEObject>
              </w:object>
            </w:r>
            <w:r>
              <w:rPr>
                <w:rFonts w:ascii="Times New Roman" w:hAnsi="Times New Roman" w:cs="Times New Roman"/>
              </w:rPr>
              <w:t>代表二值模板，</w:t>
            </w:r>
            <w:r>
              <w:rPr>
                <w:rFonts w:ascii="Times New Roman" w:hAnsi="Times New Roman" w:cs="Times New Roman"/>
                <w:position w:val="-6"/>
              </w:rPr>
              <w:object>
                <v:shape id="_x0000_i1044" o:spt="75" type="#_x0000_t75" style="height:13.5pt;width:9pt;" o:ole="t" filled="f" o:preferrelative="t" stroked="f" coordsize="21600,21600">
                  <v:path/>
                  <v:fill on="f" focussize="0,0"/>
                  <v:stroke on="f" joinstyle="miter"/>
                  <v:imagedata r:id="rId46" o:title=""/>
                  <o:lock v:ext="edit" aspectratio="t"/>
                  <w10:wrap type="none"/>
                  <w10:anchorlock/>
                </v:shape>
                <o:OLEObject Type="Embed" ProgID="Equation.DSMT4" ShapeID="_x0000_i1044" DrawAspect="Content" ObjectID="_1468075743" r:id="rId45">
                  <o:LockedField>false</o:LockedField>
                </o:OLEObject>
              </w:object>
            </w:r>
            <w:r>
              <w:rPr>
                <w:rFonts w:ascii="Times New Roman" w:hAnsi="Times New Roman" w:cs="Times New Roman"/>
              </w:rPr>
              <w:t>代表背景图像，K代表环境反射光形成的模糊图像。</w:t>
            </w:r>
          </w:p>
          <w:p>
            <w:pPr>
              <w:spacing w:line="400" w:lineRule="exact"/>
              <w:ind w:firstLine="480" w:firstLineChars="200"/>
              <w:jc w:val="both"/>
              <w:textAlignment w:val="baseline"/>
              <w:rPr>
                <w:rFonts w:ascii="Times New Roman" w:hAnsi="Times New Roman" w:cs="Times New Roman"/>
              </w:rPr>
            </w:pPr>
            <w:r>
              <w:rPr>
                <w:rFonts w:ascii="Times New Roman" w:hAnsi="Times New Roman" w:cs="Times New Roman"/>
              </w:rPr>
              <w:t>特征搜索空间作为生成对抗网络的生成器，是本技术的核心，为避免加重网络训练的不稳定性，仅使用神经网络结构搜索技术（Neural Architecture Search，简称NAS）自行搜索构建生成器结构，不对判别器结构进行搜索。特征搜索空间的基本单元由多个块组成，项目组根据物理规则为各底层视觉任务设计不同的基础操作，每个块包含一个基础操作和多个卷积操作。NAS进行两个层次的搜索，分别探索特征搜索空间的基本单元结构以及搜索空间的整体网络结构。基本单元的每个块中，输出张量</w:t>
            </w:r>
            <w:r>
              <w:rPr>
                <w:rFonts w:ascii="Times New Roman" w:hAnsi="Times New Roman" w:cs="Times New Roman"/>
                <w:position w:val="-12"/>
              </w:rPr>
              <w:object>
                <v:shape id="_x0000_i1045" o:spt="75" type="#_x0000_t75" style="height:18.75pt;width:13.5pt;" o:ole="t" filled="f" o:preferrelative="t" stroked="f" coordsize="21600,21600">
                  <v:path/>
                  <v:fill on="f" focussize="0,0"/>
                  <v:stroke on="f" joinstyle="miter"/>
                  <v:imagedata r:id="rId48" o:title=""/>
                  <o:lock v:ext="edit" aspectratio="t"/>
                  <w10:wrap type="none"/>
                  <w10:anchorlock/>
                </v:shape>
                <o:OLEObject Type="Embed" ProgID="Equation.DSMT4" ShapeID="_x0000_i1045" DrawAspect="Content" ObjectID="_1468075744" r:id="rId47">
                  <o:LockedField>false</o:LockedField>
                </o:OLEObject>
              </w:object>
            </w:r>
            <w:r>
              <w:rPr>
                <w:rFonts w:ascii="Times New Roman" w:hAnsi="Times New Roman" w:cs="Times New Roman"/>
              </w:rPr>
              <w:t>通过搜索操作</w:t>
            </w:r>
            <w:r>
              <w:rPr>
                <w:rFonts w:ascii="Times New Roman" w:hAnsi="Times New Roman" w:cs="Times New Roman"/>
                <w:position w:val="-12"/>
              </w:rPr>
              <w:object>
                <v:shape id="_x0000_i1046" o:spt="75" type="#_x0000_t75" style="height:15.75pt;width:22.5pt;" o:ole="t" filled="f" o:preferrelative="t" stroked="f" coordsize="21600,21600">
                  <v:path/>
                  <v:fill on="f" focussize="0,0"/>
                  <v:stroke on="f" joinstyle="miter"/>
                  <v:imagedata r:id="rId50" o:title=""/>
                  <o:lock v:ext="edit" aspectratio="t"/>
                  <w10:wrap type="none"/>
                  <w10:anchorlock/>
                </v:shape>
                <o:OLEObject Type="Embed" ProgID="Equation.DSMT4" ShapeID="_x0000_i1046" DrawAspect="Content" ObjectID="_1468075745" r:id="rId49">
                  <o:LockedField>false</o:LockedField>
                </o:OLEObject>
              </w:object>
            </w:r>
            <w:r>
              <w:rPr>
                <w:rFonts w:ascii="Times New Roman" w:hAnsi="Times New Roman" w:cs="Times New Roman"/>
              </w:rPr>
              <w:t>与所有输入张量连接：</w:t>
            </w:r>
          </w:p>
          <w:p>
            <w:pPr>
              <w:wordWrap w:val="0"/>
              <w:ind w:firstLine="3000" w:firstLineChars="1250"/>
              <w:jc w:val="right"/>
              <w:rPr>
                <w:rFonts w:ascii="Times New Roman" w:hAnsi="Times New Roman" w:cs="Times New Roman"/>
              </w:rPr>
            </w:pPr>
            <w:r>
              <w:rPr>
                <w:rFonts w:ascii="Times New Roman" w:hAnsi="Times New Roman" w:cs="Times New Roman"/>
                <w:position w:val="-36"/>
              </w:rPr>
              <w:object>
                <v:shape id="_x0000_i1047" o:spt="75" type="#_x0000_t75" style="height:31.5pt;width:92.25pt;" o:ole="t" filled="f" o:preferrelative="t" stroked="f" coordsize="21600,21600">
                  <v:path/>
                  <v:fill on="f" focussize="0,0"/>
                  <v:stroke on="f" joinstyle="miter"/>
                  <v:imagedata r:id="rId52" o:title=""/>
                  <o:lock v:ext="edit" aspectratio="t"/>
                  <w10:wrap type="none"/>
                  <w10:anchorlock/>
                </v:shape>
                <o:OLEObject Type="Embed" ProgID="Equation.DSMT4" ShapeID="_x0000_i1047" DrawAspect="Content" ObjectID="_1468075746" r:id="rId51">
                  <o:LockedField>false</o:LockedField>
                </o:OLEObject>
              </w:object>
            </w:r>
            <w:r>
              <w:rPr>
                <w:rFonts w:cs="Times New Roman"/>
              </w:rPr>
              <w:t xml:space="preserve">                              </w:t>
            </w:r>
            <w:r>
              <w:rPr>
                <w:rFonts w:hint="eastAsia" w:cs="Times New Roman"/>
              </w:rPr>
              <w:t xml:space="preserve">（6） </w:t>
            </w:r>
            <w:r>
              <w:rPr>
                <w:rFonts w:cs="Times New Roman"/>
              </w:rPr>
              <w:t xml:space="preserve"> </w:t>
            </w:r>
          </w:p>
          <w:p>
            <w:pPr>
              <w:spacing w:line="400" w:lineRule="exact"/>
              <w:jc w:val="both"/>
              <w:rPr>
                <w:rFonts w:ascii="Times New Roman" w:hAnsi="Times New Roman" w:cs="Times New Roman"/>
              </w:rPr>
            </w:pPr>
            <w:r>
              <w:rPr>
                <w:rFonts w:ascii="Times New Roman" w:hAnsi="Times New Roman" w:cs="Times New Roman"/>
              </w:rPr>
              <w:t>其中</w:t>
            </w:r>
            <w:r>
              <w:rPr>
                <w:rFonts w:ascii="Times New Roman" w:hAnsi="Times New Roman" w:cs="Times New Roman"/>
                <w:i/>
              </w:rPr>
              <w:t>H</w:t>
            </w:r>
            <w:r>
              <w:rPr>
                <w:rFonts w:ascii="Times New Roman" w:hAnsi="Times New Roman" w:cs="Times New Roman"/>
              </w:rPr>
              <w:t>代表对块的输出张量进行组合的方法，</w:t>
            </w:r>
            <w:r>
              <w:rPr>
                <w:rFonts w:ascii="Times New Roman" w:hAnsi="Times New Roman" w:cs="Times New Roman"/>
                <w:position w:val="-6"/>
              </w:rPr>
              <w:object>
                <v:shape id="_x0000_i1048" o:spt="75" type="#_x0000_t75" style="height:13.5pt;width:12pt;" o:ole="t" filled="f" o:preferrelative="t" stroked="f" coordsize="21600,21600">
                  <v:path/>
                  <v:fill on="f" focussize="0,0"/>
                  <v:stroke on="f" joinstyle="miter"/>
                  <v:imagedata r:id="rId54" o:title=""/>
                  <o:lock v:ext="edit" aspectratio="t"/>
                  <w10:wrap type="none"/>
                  <w10:anchorlock/>
                </v:shape>
                <o:OLEObject Type="Embed" ProgID="Equation.DSMT4" ShapeID="_x0000_i1048" DrawAspect="Content" ObjectID="_1468075747" r:id="rId53">
                  <o:LockedField>false</o:LockedField>
                </o:OLEObject>
              </w:object>
            </w:r>
            <w:r>
              <w:rPr>
                <w:rFonts w:ascii="Times New Roman" w:hAnsi="Times New Roman" w:cs="Times New Roman"/>
              </w:rPr>
              <w:t>代表块中对输入张量进行处理的操作。</w:t>
            </w:r>
          </w:p>
          <w:p>
            <w:pPr>
              <w:spacing w:line="400" w:lineRule="exact"/>
              <w:ind w:firstLine="480" w:firstLineChars="200"/>
              <w:jc w:val="both"/>
              <w:rPr>
                <w:rFonts w:ascii="Times New Roman" w:hAnsi="Times New Roman" w:cs="Times New Roman"/>
              </w:rPr>
            </w:pPr>
            <w:r>
              <w:rPr>
                <w:rFonts w:ascii="Times New Roman" w:hAnsi="Times New Roman" w:cs="Times New Roman"/>
              </w:rPr>
              <w:t>项目组将在大量公开数据集上对网络进行训练，通过控制器和搜索策略控制网络结构的搜索，限制其网络深度以保证技术的实时性，最终得到能处理多个底层视觉子任务的生成器结构。本技术的结构如图6所示。</w:t>
            </w:r>
          </w:p>
          <w:bookmarkEnd w:id="27"/>
          <w:p>
            <w:pPr>
              <w:widowControl w:val="0"/>
              <w:spacing w:line="360" w:lineRule="auto"/>
              <w:jc w:val="center"/>
              <w:rPr>
                <w:rFonts w:ascii="Times New Roman" w:hAnsi="Times New Roman" w:cs="Times New Roman"/>
                <w:kern w:val="2"/>
              </w:rPr>
            </w:pPr>
            <w:r>
              <w:rPr>
                <w:rFonts w:ascii="Times New Roman" w:hAnsi="Times New Roman" w:cs="Times New Roman"/>
                <w:kern w:val="2"/>
              </w:rPr>
              <w:drawing>
                <wp:inline distT="0" distB="0" distL="0" distR="0">
                  <wp:extent cx="5839460" cy="213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874923" cy="2148088"/>
                          </a:xfrm>
                          <a:prstGeom prst="rect">
                            <a:avLst/>
                          </a:prstGeom>
                          <a:noFill/>
                          <a:ln>
                            <a:noFill/>
                          </a:ln>
                        </pic:spPr>
                      </pic:pic>
                    </a:graphicData>
                  </a:graphic>
                </wp:inline>
              </w:drawing>
            </w:r>
          </w:p>
          <w:p>
            <w:pPr>
              <w:widowControl w:val="0"/>
              <w:spacing w:line="360" w:lineRule="auto"/>
              <w:ind w:firstLine="420" w:firstLineChars="200"/>
              <w:jc w:val="center"/>
              <w:rPr>
                <w:rFonts w:ascii="Times New Roman" w:hAnsi="Times New Roman" w:cs="Times New Roman"/>
                <w:color w:val="000000"/>
                <w:kern w:val="2"/>
                <w:sz w:val="21"/>
              </w:rPr>
            </w:pPr>
            <w:bookmarkStart w:id="28" w:name="_Hlk80189798"/>
            <w:r>
              <w:rPr>
                <w:rFonts w:ascii="Times New Roman" w:hAnsi="Times New Roman" w:cs="Times New Roman"/>
                <w:color w:val="000000"/>
                <w:kern w:val="2"/>
                <w:sz w:val="21"/>
              </w:rPr>
              <w:t>图6 无人机图像复原与增强网络结构</w:t>
            </w:r>
          </w:p>
          <w:p>
            <w:pPr>
              <w:widowControl w:val="0"/>
              <w:spacing w:line="400" w:lineRule="exact"/>
              <w:ind w:firstLine="482" w:firstLineChars="200"/>
              <w:jc w:val="both"/>
              <w:rPr>
                <w:rFonts w:ascii="Times New Roman" w:hAnsi="Times New Roman" w:cs="Times New Roman"/>
                <w:b/>
                <w:kern w:val="2"/>
              </w:rPr>
            </w:pPr>
            <w:r>
              <w:rPr>
                <w:rFonts w:ascii="Times New Roman" w:hAnsi="Times New Roman" w:cs="Times New Roman"/>
                <w:b/>
                <w:kern w:val="2"/>
              </w:rPr>
              <w:t>（3）基于无人机拍摄图像的</w:t>
            </w:r>
            <w:r>
              <w:rPr>
                <w:rFonts w:hint="eastAsia" w:ascii="Times New Roman" w:hAnsi="Times New Roman" w:cs="Times New Roman"/>
                <w:b/>
                <w:kern w:val="2"/>
              </w:rPr>
              <w:t>设备</w:t>
            </w:r>
            <w:r>
              <w:rPr>
                <w:rFonts w:ascii="Times New Roman" w:hAnsi="Times New Roman" w:cs="Times New Roman"/>
                <w:b/>
                <w:kern w:val="2"/>
              </w:rPr>
              <w:t>裂痕识别</w:t>
            </w:r>
            <w:r>
              <w:rPr>
                <w:rFonts w:hint="eastAsia" w:ascii="Times New Roman" w:hAnsi="Times New Roman" w:cs="Times New Roman"/>
                <w:b/>
                <w:kern w:val="2"/>
              </w:rPr>
              <w:t>和</w:t>
            </w:r>
            <w:r>
              <w:rPr>
                <w:rFonts w:ascii="Times New Roman" w:hAnsi="Times New Roman" w:cs="Times New Roman"/>
                <w:b/>
                <w:kern w:val="2"/>
              </w:rPr>
              <w:t>倾斜检测</w:t>
            </w:r>
          </w:p>
          <w:p>
            <w:pPr>
              <w:pStyle w:val="85"/>
              <w:ind w:firstLine="480"/>
            </w:pPr>
            <w:r>
              <w:rPr>
                <w:rFonts w:hint="eastAsia"/>
              </w:rPr>
              <w:t>针对拍摄图像时无人机自身倾斜导致图像出现畸变问题，通过像素坐标系与物理坐标系联合校正，利用双线性插值重构图像从而消除无人机自身倾斜给图像造成的畸变。针对已有的数据集与震后变电站设备图像数据集存在领域偏移的问题，本项目设计一种基于梯度对齐领域自适应的实例分割算法，在有完备标签的源数据集上训练多个分类器，用训练好的分类器同时对源域和目标域进行分类，在源域与目标域之间设计对抗损失与梯度距离函数，通过迭代优化使得对抗损失和梯度距离达到最小，此时网络可以直接对震后变电站设备图像进行实例分割提取目标设备，具体为：</w:t>
            </w:r>
            <w:bookmarkStart w:id="29" w:name="_Hlk80189823"/>
          </w:p>
          <w:bookmarkEnd w:id="28"/>
          <w:p>
            <w:pPr>
              <w:pStyle w:val="85"/>
              <w:wordWrap w:val="0"/>
              <w:spacing w:line="240" w:lineRule="auto"/>
              <w:ind w:firstLine="480"/>
              <w:jc w:val="right"/>
              <w:textAlignment w:val="center"/>
              <w:rPr>
                <w:position w:val="-16"/>
              </w:rPr>
            </w:pPr>
            <w:r>
              <w:rPr>
                <w:rFonts w:hint="eastAsia"/>
                <w:position w:val="-16"/>
              </w:rPr>
              <w:object>
                <v:shape id="_x0000_i1049" o:spt="75" type="#_x0000_t75" style="height:22.5pt;width:110.25pt;" o:ole="t" filled="f" o:preferrelative="t" stroked="f" coordsize="21600,21600">
                  <v:path/>
                  <v:fill on="f" focussize="0,0"/>
                  <v:stroke on="f" joinstyle="miter"/>
                  <v:imagedata r:id="rId57" o:title=""/>
                  <o:lock v:ext="edit" aspectratio="f"/>
                  <w10:wrap type="none"/>
                  <w10:anchorlock/>
                </v:shape>
                <o:OLEObject Type="Embed" ProgID="Equation.DSMT4" ShapeID="_x0000_i1049" DrawAspect="Content" ObjectID="_1468075748" r:id="rId56">
                  <o:LockedField>false</o:LockedField>
                </o:OLEObject>
              </w:object>
            </w:r>
            <w:r>
              <w:rPr>
                <w:rFonts w:hint="eastAsia"/>
                <w:position w:val="-16"/>
              </w:rPr>
              <w:t xml:space="preserve">          </w:t>
            </w:r>
            <w:r>
              <w:rPr>
                <w:position w:val="-16"/>
              </w:rPr>
              <w:t xml:space="preserve">    </w:t>
            </w:r>
            <w:r>
              <w:rPr>
                <w:rFonts w:hint="eastAsia"/>
                <w:position w:val="-16"/>
              </w:rPr>
              <w:t xml:space="preserve">                                    （</w:t>
            </w:r>
            <w:r>
              <w:rPr>
                <w:position w:val="-16"/>
              </w:rPr>
              <w:t>7</w:t>
            </w:r>
            <w:r>
              <w:rPr>
                <w:rFonts w:hint="eastAsia"/>
                <w:position w:val="-16"/>
              </w:rPr>
              <w:t xml:space="preserve">） </w:t>
            </w:r>
            <w:r>
              <w:rPr>
                <w:position w:val="-16"/>
              </w:rPr>
              <w:t xml:space="preserve"> </w:t>
            </w:r>
          </w:p>
          <w:p>
            <w:pPr>
              <w:pStyle w:val="85"/>
              <w:spacing w:line="240" w:lineRule="auto"/>
              <w:ind w:firstLine="0" w:firstLineChars="0"/>
              <w:rPr>
                <w:position w:val="-34"/>
              </w:rPr>
            </w:pPr>
            <w:r>
              <w:rPr>
                <w:rFonts w:hint="eastAsia"/>
                <w:position w:val="-16"/>
              </w:rPr>
              <w:t>式中：</w:t>
            </w:r>
            <w:r>
              <w:rPr>
                <w:rFonts w:hint="eastAsia"/>
                <w:position w:val="-26"/>
              </w:rPr>
              <w:object>
                <v:shape id="_x0000_i1050" o:spt="75" type="#_x0000_t75" style="height:31.5pt;width:105pt;" o:ole="t" filled="f" o:preferrelative="t" stroked="f" coordsize="21600,21600">
                  <v:path/>
                  <v:fill on="f" focussize="0,0"/>
                  <v:stroke on="f" joinstyle="miter"/>
                  <v:imagedata r:id="rId59" o:title=""/>
                  <o:lock v:ext="edit" aspectratio="f"/>
                  <w10:wrap type="none"/>
                  <w10:anchorlock/>
                </v:shape>
                <o:OLEObject Type="Embed" ProgID="Equation.DSMT4" ShapeID="_x0000_i1050" DrawAspect="Content" ObjectID="_1468075749" r:id="rId58">
                  <o:LockedField>false</o:LockedField>
                </o:OLEObject>
              </w:object>
            </w:r>
            <w:r>
              <w:rPr>
                <w:rFonts w:hint="eastAsia"/>
                <w:position w:val="-16"/>
              </w:rPr>
              <w:t>为对抗损失，可以衡量多分类器输出概率的差异，</w:t>
            </w:r>
            <w:r>
              <w:rPr>
                <w:position w:val="-34"/>
              </w:rPr>
              <w:object>
                <v:shape id="_x0000_i1051" o:spt="75" type="#_x0000_t75" style="height:38.25pt;width:98.25pt;" o:ole="t" filled="f" o:preferrelative="t" stroked="f" coordsize="21600,21600">
                  <v:path/>
                  <v:fill on="f" focussize="0,0"/>
                  <v:stroke on="f" joinstyle="miter"/>
                  <v:imagedata r:id="rId61" o:title=""/>
                  <o:lock v:ext="edit" aspectratio="f"/>
                  <w10:wrap type="none"/>
                  <w10:anchorlock/>
                </v:shape>
                <o:OLEObject Type="Embed" ProgID="Equation.DSMT4" ShapeID="_x0000_i1051" DrawAspect="Content" ObjectID="_1468075750" r:id="rId60">
                  <o:LockedField>false</o:LockedField>
                </o:OLEObject>
              </w:object>
            </w:r>
            <w:r>
              <w:rPr>
                <w:rFonts w:hint="eastAsia"/>
                <w:position w:val="-34"/>
              </w:rPr>
              <w:t>为梯度距离函数，用于衡量算法反向传播梯度距离。</w:t>
            </w:r>
          </w:p>
          <w:p>
            <w:pPr>
              <w:pStyle w:val="85"/>
              <w:ind w:firstLine="480"/>
            </w:pPr>
            <w:r>
              <w:rPr>
                <w:rFonts w:hint="eastAsia"/>
              </w:rPr>
              <w:t>变电站震后损毁样本量稀缺、裂痕与设备纹路相似性高，而DDAE（深度去噪自编码器）网络可较好解决此类问题。通过正常设备样本训练的DDAE网络在接收到异常图像时可以得到重构异常分数，损失函数如公式（</w:t>
            </w:r>
            <w:r>
              <w:t>7</w:t>
            </w:r>
            <w:r>
              <w:rPr>
                <w:rFonts w:hint="eastAsia"/>
              </w:rPr>
              <w:t>）所示：</w:t>
            </w:r>
          </w:p>
          <w:p>
            <w:pPr>
              <w:pStyle w:val="85"/>
              <w:wordWrap w:val="0"/>
              <w:spacing w:line="360" w:lineRule="auto"/>
              <w:ind w:firstLine="0" w:firstLineChars="0"/>
              <w:jc w:val="right"/>
              <w:textAlignment w:val="center"/>
              <w:rPr>
                <w:position w:val="-16"/>
              </w:rPr>
            </w:pPr>
            <w:r>
              <w:rPr>
                <w:rFonts w:hint="eastAsia"/>
                <w:position w:val="-28"/>
              </w:rPr>
              <w:object>
                <v:shape id="_x0000_i1052" o:spt="75" type="#_x0000_t75" style="height:33.75pt;width:159pt;" o:ole="t" filled="f" o:preferrelative="t" stroked="f" coordsize="21600,21600">
                  <v:path/>
                  <v:fill on="f" focussize="0,0"/>
                  <v:stroke on="f" joinstyle="miter"/>
                  <v:imagedata r:id="rId63" o:title=""/>
                  <o:lock v:ext="edit" aspectratio="f"/>
                  <w10:wrap type="none"/>
                  <w10:anchorlock/>
                </v:shape>
                <o:OLEObject Type="Embed" ProgID="Equation.DSMT4" ShapeID="_x0000_i1052" DrawAspect="Content" ObjectID="_1468075751" r:id="rId62">
                  <o:LockedField>false</o:LockedField>
                </o:OLEObject>
              </w:object>
            </w:r>
            <w:r>
              <w:rPr>
                <w:rFonts w:hint="eastAsia"/>
                <w:position w:val="-16"/>
              </w:rPr>
              <w:t xml:space="preserve">                                              （</w:t>
            </w:r>
            <w:r>
              <w:rPr>
                <w:position w:val="-16"/>
              </w:rPr>
              <w:t>8</w:t>
            </w:r>
            <w:r>
              <w:rPr>
                <w:rFonts w:hint="eastAsia"/>
                <w:position w:val="-16"/>
              </w:rPr>
              <w:t xml:space="preserve">） </w:t>
            </w:r>
            <w:r>
              <w:rPr>
                <w:position w:val="-16"/>
              </w:rPr>
              <w:t xml:space="preserve"> </w:t>
            </w:r>
          </w:p>
          <w:p>
            <w:pPr>
              <w:pStyle w:val="85"/>
              <w:spacing w:line="240" w:lineRule="auto"/>
              <w:ind w:firstLine="0" w:firstLineChars="0"/>
              <w:textAlignment w:val="top"/>
            </w:pPr>
            <w:r>
              <w:rPr>
                <w:rFonts w:hint="eastAsia"/>
                <w:position w:val="-10"/>
              </w:rPr>
              <w:t>式中：</w:t>
            </w:r>
            <w:r>
              <w:rPr>
                <w:position w:val="-10"/>
              </w:rPr>
              <w:object>
                <v:shape id="_x0000_i1053" o:spt="75" type="#_x0000_t75" style="height:18pt;width:12pt;" o:ole="t" filled="f" o:preferrelative="t" stroked="f" coordsize="21600,21600">
                  <v:path/>
                  <v:fill on="f" focussize="0,0"/>
                  <v:stroke on="f" joinstyle="miter"/>
                  <v:imagedata r:id="rId65" o:title=""/>
                  <o:lock v:ext="edit" aspectratio="f"/>
                  <w10:wrap type="none"/>
                  <w10:anchorlock/>
                </v:shape>
                <o:OLEObject Type="Embed" ProgID="Equation.DSMT4" ShapeID="_x0000_i1053" DrawAspect="Content" ObjectID="_1468075752" r:id="rId64">
                  <o:LockedField>false</o:LockedField>
                </o:OLEObject>
              </w:object>
            </w:r>
            <w:r>
              <w:rPr>
                <w:rFonts w:hint="eastAsia"/>
                <w:position w:val="-12"/>
              </w:rPr>
              <w:t>是真实正常图像，</w:t>
            </w:r>
            <w:r>
              <w:rPr>
                <w:position w:val="-10"/>
              </w:rPr>
              <w:object>
                <v:shape id="_x0000_i1054" o:spt="75" type="#_x0000_t75" style="height:20.25pt;width:49.5pt;" o:ole="t" filled="f" o:preferrelative="t" stroked="f" coordsize="21600,21600">
                  <v:path/>
                  <v:fill on="f" focussize="0,0"/>
                  <v:stroke on="f" joinstyle="miter"/>
                  <v:imagedata r:id="rId67" o:title=""/>
                  <o:lock v:ext="edit" aspectratio="f"/>
                  <w10:wrap type="none"/>
                  <w10:anchorlock/>
                </v:shape>
                <o:OLEObject Type="Embed" ProgID="Equation.DSMT4" ShapeID="_x0000_i1054" DrawAspect="Content" ObjectID="_1468075753" r:id="rId66">
                  <o:LockedField>false</o:LockedField>
                </o:OLEObject>
              </w:object>
            </w:r>
            <w:r>
              <w:rPr>
                <w:rFonts w:hint="eastAsia"/>
                <w:position w:val="-14"/>
              </w:rPr>
              <w:t>是重构图像，训练时使式（8）最小化得到裂痕检测器，检测时</w:t>
            </w:r>
            <w:r>
              <w:rPr>
                <w:position w:val="-10"/>
              </w:rPr>
              <w:object>
                <v:shape id="_x0000_i1055" o:spt="75" type="#_x0000_t75" style="height:15.75pt;width:35.25pt;" o:ole="t" filled="f" o:preferrelative="t" stroked="f" coordsize="21600,21600">
                  <v:path/>
                  <v:fill on="f" focussize="0,0"/>
                  <v:stroke on="f" joinstyle="miter"/>
                  <v:imagedata r:id="rId69" o:title=""/>
                  <o:lock v:ext="edit" aspectratio="f"/>
                  <w10:wrap type="none"/>
                  <w10:anchorlock/>
                </v:shape>
                <o:OLEObject Type="Embed" ProgID="Equation.DSMT4" ShapeID="_x0000_i1055" DrawAspect="Content" ObjectID="_1468075754" r:id="rId68">
                  <o:LockedField>false</o:LockedField>
                </o:OLEObject>
              </w:object>
            </w:r>
            <w:r>
              <w:rPr>
                <w:rFonts w:hint="eastAsia"/>
                <w:position w:val="-10"/>
              </w:rPr>
              <w:t>即为异常分数。设计一个滑动窗口，在滑动窗口中运行DDAE算法进行编码解码重构图像，滑动窗口依次遍历整个目标，从而获得目标设备的重构异常分数图谱，通过分析异常分数图谱即可评估目标设备是否存在裂痕。</w:t>
            </w:r>
          </w:p>
          <w:p>
            <w:pPr>
              <w:pStyle w:val="85"/>
              <w:ind w:firstLine="480"/>
            </w:pPr>
            <w:bookmarkStart w:id="30" w:name="_Hlk80189841"/>
            <w:r>
              <w:rPr>
                <w:rFonts w:hint="eastAsia"/>
              </w:rPr>
              <w:t>对于设备倾斜检测，在得到多个角度的目标设备分割图像之后提取目标中轴线，通过多视角的三角形法测量设备倾斜角度，从而判断目标设备是否倾斜。该方法结构图如图</w:t>
            </w:r>
            <w:r>
              <w:t>7</w:t>
            </w:r>
            <w:r>
              <w:rPr>
                <w:rFonts w:hint="eastAsia"/>
              </w:rPr>
              <w:t>所示。</w:t>
            </w:r>
          </w:p>
          <w:bookmarkEnd w:id="29"/>
          <w:bookmarkEnd w:id="30"/>
          <w:p>
            <w:pPr>
              <w:widowControl w:val="0"/>
              <w:spacing w:line="360" w:lineRule="auto"/>
              <w:jc w:val="center"/>
              <w:rPr>
                <w:rFonts w:ascii="Calibri" w:hAnsi="Calibri" w:cs="Times New Roman"/>
                <w:b/>
                <w:color w:val="000000"/>
                <w:kern w:val="2"/>
                <w:sz w:val="21"/>
                <w:szCs w:val="22"/>
              </w:rPr>
            </w:pPr>
            <w:r>
              <w:drawing>
                <wp:inline distT="0" distB="0" distL="0" distR="0">
                  <wp:extent cx="6262370" cy="309308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6269886" cy="3097047"/>
                          </a:xfrm>
                          <a:prstGeom prst="rect">
                            <a:avLst/>
                          </a:prstGeom>
                          <a:noFill/>
                          <a:ln>
                            <a:noFill/>
                          </a:ln>
                        </pic:spPr>
                      </pic:pic>
                    </a:graphicData>
                  </a:graphic>
                </wp:inline>
              </w:drawing>
            </w:r>
          </w:p>
          <w:p>
            <w:pPr>
              <w:widowControl w:val="0"/>
              <w:spacing w:line="360" w:lineRule="auto"/>
              <w:ind w:firstLine="420" w:firstLineChars="200"/>
              <w:jc w:val="center"/>
              <w:rPr>
                <w:color w:val="000000"/>
                <w:kern w:val="2"/>
                <w:sz w:val="21"/>
              </w:rPr>
            </w:pPr>
            <w:bookmarkStart w:id="31" w:name="_Hlk80189861"/>
            <w:r>
              <w:rPr>
                <w:rFonts w:hint="eastAsia"/>
                <w:color w:val="000000"/>
                <w:kern w:val="2"/>
                <w:sz w:val="21"/>
              </w:rPr>
              <w:t>图</w:t>
            </w:r>
            <w:r>
              <w:rPr>
                <w:rFonts w:ascii="Times New Roman" w:hAnsi="Times New Roman" w:cs="Times New Roman"/>
                <w:color w:val="000000"/>
                <w:kern w:val="2"/>
                <w:sz w:val="21"/>
              </w:rPr>
              <w:t>7</w:t>
            </w:r>
            <w:r>
              <w:rPr>
                <w:color w:val="000000"/>
                <w:kern w:val="2"/>
                <w:sz w:val="21"/>
              </w:rPr>
              <w:t xml:space="preserve"> </w:t>
            </w:r>
            <w:r>
              <w:rPr>
                <w:rFonts w:hint="eastAsia"/>
                <w:color w:val="000000"/>
                <w:kern w:val="2"/>
                <w:sz w:val="21"/>
              </w:rPr>
              <w:t>设备裂痕识别与倾斜检测结构图</w:t>
            </w:r>
          </w:p>
          <w:bookmarkEnd w:id="31"/>
          <w:p>
            <w:pPr>
              <w:widowControl w:val="0"/>
              <w:spacing w:before="120" w:after="240" w:line="400" w:lineRule="exact"/>
              <w:jc w:val="both"/>
              <w:rPr>
                <w:rFonts w:ascii="Times New Roman" w:hAnsi="Times New Roman"/>
                <w:b/>
                <w:color w:val="000000"/>
                <w:kern w:val="2"/>
              </w:rPr>
            </w:pPr>
            <w:bookmarkStart w:id="32" w:name="_Hlk80189875"/>
            <w:r>
              <w:rPr>
                <w:rFonts w:hint="eastAsia" w:ascii="Times New Roman" w:hAnsi="Times New Roman"/>
                <w:b/>
                <w:color w:val="000000"/>
                <w:kern w:val="2"/>
              </w:rPr>
              <w:t>2</w:t>
            </w:r>
            <w:r>
              <w:rPr>
                <w:rFonts w:ascii="Times New Roman" w:hAnsi="Times New Roman"/>
                <w:b/>
                <w:color w:val="000000"/>
                <w:kern w:val="2"/>
              </w:rPr>
              <w:t>.5</w:t>
            </w:r>
            <w:r>
              <w:rPr>
                <w:rFonts w:hint="eastAsia" w:ascii="Times New Roman" w:hAnsi="Times New Roman"/>
                <w:b/>
                <w:color w:val="000000"/>
                <w:kern w:val="2"/>
              </w:rPr>
              <w:t>应用方案</w:t>
            </w:r>
          </w:p>
          <w:p>
            <w:pPr>
              <w:spacing w:line="360" w:lineRule="auto"/>
              <w:ind w:firstLine="480" w:firstLineChars="200"/>
              <w:rPr>
                <w:color w:val="000000"/>
              </w:rPr>
            </w:pPr>
            <w:r>
              <w:rPr>
                <w:rFonts w:hint="eastAsia"/>
                <w:color w:val="000000"/>
              </w:rPr>
              <w:t>该项成果的推广应用将沿着以下思路进行：</w:t>
            </w:r>
          </w:p>
          <w:p>
            <w:pPr>
              <w:spacing w:line="360" w:lineRule="auto"/>
              <w:ind w:firstLine="480" w:firstLineChars="200"/>
              <w:jc w:val="both"/>
              <w:rPr>
                <w:color w:val="000000"/>
              </w:rPr>
            </w:pPr>
            <w:r>
              <w:rPr>
                <w:rFonts w:hint="eastAsia"/>
                <w:color w:val="000000"/>
              </w:rPr>
              <w:t>(</w:t>
            </w:r>
            <w:r>
              <w:rPr>
                <w:color w:val="000000"/>
              </w:rPr>
              <w:t>1)首先做好知识产权方面的保护，在关键核心技术环节，如基于无人机与机器视觉损毁检测技术，申请国家发明专利</w:t>
            </w:r>
            <w:r>
              <w:rPr>
                <w:rFonts w:hint="eastAsia"/>
                <w:color w:val="000000"/>
              </w:rPr>
              <w:t>；</w:t>
            </w:r>
          </w:p>
          <w:p>
            <w:pPr>
              <w:widowControl w:val="0"/>
              <w:spacing w:line="400" w:lineRule="exact"/>
              <w:ind w:firstLine="480" w:firstLineChars="200"/>
              <w:jc w:val="both"/>
              <w:rPr>
                <w:rFonts w:ascii="Calibri" w:hAnsi="Calibri" w:cs="Times New Roman"/>
                <w:kern w:val="2"/>
                <w:szCs w:val="22"/>
              </w:rPr>
            </w:pPr>
            <w:r>
              <w:rPr>
                <w:color w:val="000000"/>
              </w:rPr>
              <w:t>(2)研究成果将在国家电网检修变电站的场景下进行应用，提升检修效率，保障人员安全，并对技术性能做进一步地测试、评估和完善，最后由省科技厅等有关单位组织专家鉴定，形成鉴定结论。</w:t>
            </w:r>
          </w:p>
          <w:bookmarkEnd w:id="32"/>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p>
            <w:pPr>
              <w:rPr>
                <w:rFonts w:ascii="Times New Roman" w:hAnsi="Times New Roman" w:cs="Times New Roman"/>
                <w:sz w:val="20"/>
                <w:szCs w:val="20"/>
              </w:rPr>
            </w:pPr>
          </w:p>
        </w:tc>
      </w:tr>
      <w:tr>
        <w:tblPrEx>
          <w:tblCellMar>
            <w:top w:w="0" w:type="dxa"/>
            <w:left w:w="0" w:type="dxa"/>
            <w:bottom w:w="0" w:type="dxa"/>
            <w:right w:w="0" w:type="dxa"/>
          </w:tblCellMar>
        </w:tblPrEx>
        <w:trPr>
          <w:trHeight w:val="411" w:hRule="atLeast"/>
          <w:jc w:val="center"/>
        </w:trPr>
        <w:tc>
          <w:tcPr>
            <w:tcW w:w="10200" w:type="dxa"/>
            <w:tcBorders>
              <w:top w:val="single" w:color="000000" w:sz="6" w:space="0"/>
              <w:left w:val="single" w:color="000000" w:sz="6" w:space="0"/>
              <w:bottom w:val="single" w:color="000000" w:sz="6" w:space="0"/>
              <w:right w:val="single" w:color="000000" w:sz="6" w:space="0"/>
            </w:tcBorders>
          </w:tcPr>
          <w:p>
            <w:pPr>
              <w:rPr>
                <w:rFonts w:ascii="Times New Roman" w:hAnsi="Times New Roman" w:cs="Times New Roman"/>
                <w:sz w:val="20"/>
                <w:szCs w:val="20"/>
              </w:rPr>
            </w:pPr>
            <w:r>
              <w:rPr>
                <w:rStyle w:val="59"/>
                <w:rFonts w:hint="eastAsia"/>
                <w:b w:val="0"/>
                <w:bCs w:val="0"/>
                <w:sz w:val="20"/>
                <w:szCs w:val="20"/>
              </w:rPr>
              <w:t>三、</w:t>
            </w:r>
            <w:r>
              <w:rPr>
                <w:rStyle w:val="59"/>
                <w:rFonts w:hint="eastAsia" w:ascii="宋体" w:hAnsi="宋体"/>
                <w:spacing w:val="15"/>
              </w:rPr>
              <w:t>项目绩效目标</w:t>
            </w:r>
          </w:p>
        </w:tc>
      </w:tr>
      <w:tr>
        <w:tblPrEx>
          <w:tblCellMar>
            <w:top w:w="0" w:type="dxa"/>
            <w:left w:w="0" w:type="dxa"/>
            <w:bottom w:w="0" w:type="dxa"/>
            <w:right w:w="0" w:type="dxa"/>
          </w:tblCellMar>
        </w:tblPrEx>
        <w:trPr>
          <w:trHeight w:val="12300" w:hRule="atLeast"/>
          <w:jc w:val="center"/>
        </w:trPr>
        <w:tc>
          <w:tcPr>
            <w:tcW w:w="10200" w:type="dxa"/>
            <w:tcBorders>
              <w:top w:val="single" w:color="000000" w:sz="6" w:space="0"/>
              <w:left w:val="single" w:color="000000" w:sz="6" w:space="0"/>
              <w:bottom w:val="single" w:color="000000" w:sz="6" w:space="0"/>
              <w:right w:val="single" w:color="000000" w:sz="6" w:space="0"/>
            </w:tcBorders>
          </w:tcPr>
          <w:p>
            <w:pPr>
              <w:pStyle w:val="14"/>
              <w:numPr>
                <w:ilvl w:val="0"/>
                <w:numId w:val="3"/>
              </w:numPr>
              <w:wordWrap w:val="0"/>
              <w:rPr>
                <w:rStyle w:val="55"/>
                <w:rFonts w:ascii="宋体" w:hAnsi="宋体"/>
                <w:color w:val="auto"/>
                <w:sz w:val="21"/>
                <w:szCs w:val="21"/>
              </w:rPr>
            </w:pPr>
            <w:r>
              <w:rPr>
                <w:rStyle w:val="55"/>
                <w:rFonts w:hint="eastAsia" w:ascii="宋体" w:hAnsi="宋体"/>
                <w:color w:val="auto"/>
                <w:sz w:val="21"/>
                <w:szCs w:val="21"/>
              </w:rPr>
              <w:t>技术创新目标（所有重点研发项目必须填写）</w:t>
            </w:r>
          </w:p>
          <w:tbl>
            <w:tblPr>
              <w:tblStyle w:val="16"/>
              <w:tblW w:w="9540" w:type="dxa"/>
              <w:tblInd w:w="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0"/>
              <w:gridCol w:w="2520"/>
              <w:gridCol w:w="2340"/>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pStyle w:val="14"/>
                    <w:jc w:val="center"/>
                    <w:rPr>
                      <w:rStyle w:val="55"/>
                      <w:rFonts w:ascii="宋体" w:hAnsi="宋体"/>
                      <w:color w:val="auto"/>
                      <w:sz w:val="18"/>
                      <w:szCs w:val="18"/>
                    </w:rPr>
                  </w:pPr>
                  <w:r>
                    <w:rPr>
                      <w:rStyle w:val="55"/>
                      <w:rFonts w:hint="eastAsia" w:ascii="宋体" w:hAnsi="宋体"/>
                      <w:color w:val="auto"/>
                      <w:sz w:val="18"/>
                      <w:szCs w:val="18"/>
                    </w:rPr>
                    <w:t>产品或技术名称</w:t>
                  </w:r>
                </w:p>
              </w:tc>
              <w:tc>
                <w:tcPr>
                  <w:tcW w:w="2520" w:type="dxa"/>
                  <w:tcBorders>
                    <w:top w:val="single" w:color="auto" w:sz="4" w:space="0"/>
                    <w:left w:val="nil"/>
                    <w:bottom w:val="single" w:color="auto" w:sz="4" w:space="0"/>
                    <w:right w:val="single" w:color="auto" w:sz="4" w:space="0"/>
                  </w:tcBorders>
                  <w:vAlign w:val="center"/>
                </w:tcPr>
                <w:p>
                  <w:pPr>
                    <w:pStyle w:val="14"/>
                    <w:wordWrap w:val="0"/>
                    <w:jc w:val="center"/>
                    <w:rPr>
                      <w:rStyle w:val="55"/>
                      <w:rFonts w:ascii="宋体" w:hAnsi="宋体"/>
                      <w:color w:val="auto"/>
                      <w:sz w:val="18"/>
                      <w:szCs w:val="18"/>
                    </w:rPr>
                  </w:pPr>
                  <w:r>
                    <w:rPr>
                      <w:rStyle w:val="55"/>
                      <w:rFonts w:hint="eastAsia" w:ascii="宋体" w:hAnsi="宋体"/>
                      <w:color w:val="auto"/>
                      <w:sz w:val="18"/>
                      <w:szCs w:val="18"/>
                    </w:rPr>
                    <w:t>主要技术参数/性能参数</w:t>
                  </w:r>
                </w:p>
              </w:tc>
              <w:tc>
                <w:tcPr>
                  <w:tcW w:w="2340" w:type="dxa"/>
                  <w:tcBorders>
                    <w:top w:val="single" w:color="auto" w:sz="4" w:space="0"/>
                    <w:left w:val="nil"/>
                    <w:bottom w:val="single" w:color="auto" w:sz="4" w:space="0"/>
                    <w:right w:val="single" w:color="auto" w:sz="4" w:space="0"/>
                  </w:tcBorders>
                  <w:vAlign w:val="center"/>
                </w:tcPr>
                <w:p>
                  <w:pPr>
                    <w:pStyle w:val="14"/>
                    <w:wordWrap w:val="0"/>
                    <w:jc w:val="center"/>
                    <w:rPr>
                      <w:rStyle w:val="55"/>
                      <w:rFonts w:ascii="宋体" w:hAnsi="宋体"/>
                      <w:color w:val="auto"/>
                      <w:sz w:val="18"/>
                      <w:szCs w:val="18"/>
                    </w:rPr>
                  </w:pPr>
                  <w:r>
                    <w:rPr>
                      <w:rStyle w:val="55"/>
                      <w:rFonts w:hint="eastAsia" w:ascii="宋体" w:hAnsi="宋体"/>
                      <w:color w:val="auto"/>
                      <w:sz w:val="18"/>
                      <w:szCs w:val="18"/>
                    </w:rPr>
                    <w:t>现有指标</w:t>
                  </w:r>
                </w:p>
              </w:tc>
              <w:tc>
                <w:tcPr>
                  <w:tcW w:w="2340" w:type="dxa"/>
                  <w:tcBorders>
                    <w:top w:val="single" w:color="auto" w:sz="4" w:space="0"/>
                    <w:left w:val="nil"/>
                    <w:bottom w:val="single" w:color="auto" w:sz="4" w:space="0"/>
                    <w:right w:val="single" w:color="auto" w:sz="4" w:space="0"/>
                  </w:tcBorders>
                  <w:vAlign w:val="center"/>
                </w:tcPr>
                <w:p>
                  <w:pPr>
                    <w:jc w:val="center"/>
                    <w:rPr>
                      <w:b/>
                      <w:bCs/>
                      <w:kern w:val="2"/>
                      <w:sz w:val="18"/>
                      <w:szCs w:val="18"/>
                    </w:rPr>
                  </w:pPr>
                  <w:r>
                    <w:rPr>
                      <w:rFonts w:hint="eastAsia"/>
                      <w:b/>
                      <w:bCs/>
                      <w:sz w:val="18"/>
                      <w:szCs w:val="18"/>
                    </w:rPr>
                    <w:t>项目完成时的</w:t>
                  </w:r>
                </w:p>
                <w:p>
                  <w:pPr>
                    <w:widowControl w:val="0"/>
                    <w:jc w:val="center"/>
                    <w:rPr>
                      <w:rStyle w:val="55"/>
                      <w:rFonts w:ascii="宋体" w:hAnsi="宋体"/>
                      <w:color w:val="auto"/>
                      <w:kern w:val="2"/>
                      <w:sz w:val="18"/>
                      <w:szCs w:val="18"/>
                    </w:rPr>
                  </w:pPr>
                  <w:r>
                    <w:rPr>
                      <w:rFonts w:hint="eastAsia"/>
                      <w:b/>
                      <w:bCs/>
                      <w:sz w:val="18"/>
                      <w:szCs w:val="18"/>
                    </w:rPr>
                    <w:t>预期达到指标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tcPr>
                <w:p>
                  <w:pPr>
                    <w:pStyle w:val="65"/>
                  </w:pPr>
                  <w:r>
                    <w:rPr>
                      <w:rFonts w:hint="eastAsia"/>
                      <w:lang w:bidi="ar"/>
                    </w:rPr>
                    <w:t>震害损毁检测</w:t>
                  </w:r>
                </w:p>
              </w:tc>
              <w:tc>
                <w:tcPr>
                  <w:tcW w:w="2520" w:type="dxa"/>
                  <w:tcBorders>
                    <w:top w:val="single" w:color="auto" w:sz="4" w:space="0"/>
                    <w:left w:val="nil"/>
                    <w:bottom w:val="single" w:color="auto" w:sz="4" w:space="0"/>
                    <w:right w:val="single" w:color="auto" w:sz="4" w:space="0"/>
                  </w:tcBorders>
                </w:tcPr>
                <w:p>
                  <w:pPr>
                    <w:pStyle w:val="65"/>
                  </w:pPr>
                  <w:r>
                    <w:rPr>
                      <w:rFonts w:hint="eastAsia"/>
                      <w:lang w:bidi="ar"/>
                    </w:rPr>
                    <w:t>人员投入数</w:t>
                  </w:r>
                </w:p>
              </w:tc>
              <w:tc>
                <w:tcPr>
                  <w:tcW w:w="2340" w:type="dxa"/>
                  <w:tcBorders>
                    <w:top w:val="single" w:color="auto" w:sz="4" w:space="0"/>
                    <w:left w:val="nil"/>
                    <w:bottom w:val="single" w:color="auto" w:sz="4" w:space="0"/>
                    <w:right w:val="single" w:color="auto" w:sz="4" w:space="0"/>
                  </w:tcBorders>
                </w:tcPr>
                <w:p>
                  <w:pPr>
                    <w:pStyle w:val="65"/>
                  </w:pPr>
                  <w:r>
                    <w:rPr>
                      <w:rFonts w:hint="eastAsia"/>
                      <w:lang w:bidi="ar"/>
                    </w:rPr>
                    <w:t>全人工评估，</w:t>
                  </w:r>
                  <w:r>
                    <w:rPr>
                      <w:rFonts w:cs="Times New Roman"/>
                      <w:lang w:bidi="ar"/>
                    </w:rPr>
                    <w:t>10</w:t>
                  </w:r>
                  <w:r>
                    <w:rPr>
                      <w:rFonts w:hint="eastAsia" w:cs="Times New Roman"/>
                      <w:lang w:bidi="ar"/>
                    </w:rPr>
                    <w:t>-</w:t>
                  </w:r>
                  <w:r>
                    <w:rPr>
                      <w:rFonts w:cs="Times New Roman"/>
                      <w:lang w:bidi="ar"/>
                    </w:rPr>
                    <w:t>15</w:t>
                  </w:r>
                  <w:r>
                    <w:rPr>
                      <w:rFonts w:hint="eastAsia" w:cs="Times New Roman"/>
                      <w:lang w:bidi="ar"/>
                    </w:rPr>
                    <w:t>人</w:t>
                  </w:r>
                </w:p>
              </w:tc>
              <w:tc>
                <w:tcPr>
                  <w:tcW w:w="2340" w:type="dxa"/>
                  <w:tcBorders>
                    <w:top w:val="single" w:color="auto" w:sz="4" w:space="0"/>
                    <w:left w:val="nil"/>
                    <w:bottom w:val="single" w:color="auto" w:sz="4" w:space="0"/>
                    <w:right w:val="single" w:color="auto" w:sz="4" w:space="0"/>
                  </w:tcBorders>
                </w:tcPr>
                <w:p>
                  <w:pPr>
                    <w:pStyle w:val="65"/>
                  </w:pPr>
                  <w:r>
                    <w:rPr>
                      <w:rFonts w:hint="eastAsia"/>
                      <w:lang w:bidi="ar"/>
                    </w:rPr>
                    <w:t>减人率</w:t>
                  </w:r>
                  <w:r>
                    <w:rPr>
                      <w:rFonts w:cs="Times New Roman"/>
                      <w:lang w:bidi="ar"/>
                    </w:rPr>
                    <w:t>8</w:t>
                  </w:r>
                  <w:r>
                    <w:rPr>
                      <w:lang w:bidi="ar"/>
                    </w:rPr>
                    <w:t>0</w:t>
                  </w:r>
                  <w:r>
                    <w:rPr>
                      <w:rFonts w:cs="Times New Roman"/>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pStyle w:val="65"/>
                    <w:rPr>
                      <w:rStyle w:val="55"/>
                      <w:rFonts w:ascii="宋体" w:hAnsi="宋体"/>
                      <w:color w:val="auto"/>
                      <w:sz w:val="18"/>
                      <w:szCs w:val="18"/>
                    </w:rPr>
                  </w:pPr>
                  <w:r>
                    <w:rPr>
                      <w:rFonts w:hint="eastAsia"/>
                      <w:lang w:bidi="ar"/>
                    </w:rPr>
                    <w:t>震害损毁检测</w:t>
                  </w:r>
                </w:p>
              </w:tc>
              <w:tc>
                <w:tcPr>
                  <w:tcW w:w="2520" w:type="dxa"/>
                  <w:tcBorders>
                    <w:top w:val="single" w:color="auto" w:sz="4" w:space="0"/>
                    <w:left w:val="nil"/>
                    <w:bottom w:val="single" w:color="auto" w:sz="4" w:space="0"/>
                    <w:right w:val="single" w:color="auto" w:sz="4" w:space="0"/>
                  </w:tcBorders>
                  <w:vAlign w:val="center"/>
                </w:tcPr>
                <w:p>
                  <w:pPr>
                    <w:pStyle w:val="65"/>
                    <w:rPr>
                      <w:rStyle w:val="55"/>
                      <w:rFonts w:cs="宋体"/>
                      <w:b w:val="0"/>
                      <w:bCs w:val="0"/>
                      <w:color w:val="auto"/>
                      <w:sz w:val="18"/>
                      <w:szCs w:val="18"/>
                    </w:rPr>
                  </w:pPr>
                  <w:r>
                    <w:rPr>
                      <w:rStyle w:val="55"/>
                      <w:rFonts w:cs="宋体"/>
                      <w:b w:val="0"/>
                      <w:bCs w:val="0"/>
                      <w:color w:val="auto"/>
                      <w:sz w:val="18"/>
                      <w:szCs w:val="18"/>
                    </w:rPr>
                    <w:t>无人机定位精度</w:t>
                  </w:r>
                </w:p>
              </w:tc>
              <w:tc>
                <w:tcPr>
                  <w:tcW w:w="2340" w:type="dxa"/>
                  <w:tcBorders>
                    <w:top w:val="single" w:color="auto" w:sz="4" w:space="0"/>
                    <w:left w:val="nil"/>
                    <w:bottom w:val="single" w:color="auto" w:sz="4" w:space="0"/>
                    <w:right w:val="single" w:color="auto" w:sz="4" w:space="0"/>
                  </w:tcBorders>
                  <w:vAlign w:val="center"/>
                </w:tcPr>
                <w:p>
                  <w:pPr>
                    <w:pStyle w:val="65"/>
                    <w:rPr>
                      <w:rStyle w:val="55"/>
                      <w:rFonts w:cs="宋体"/>
                      <w:b w:val="0"/>
                      <w:bCs w:val="0"/>
                      <w:color w:val="auto"/>
                      <w:sz w:val="18"/>
                      <w:szCs w:val="18"/>
                    </w:rPr>
                  </w:pPr>
                  <w:r>
                    <w:rPr>
                      <w:rStyle w:val="55"/>
                      <w:rFonts w:hint="eastAsia" w:cs="宋体"/>
                      <w:b w:val="0"/>
                      <w:bCs w:val="0"/>
                      <w:color w:val="auto"/>
                      <w:sz w:val="18"/>
                      <w:szCs w:val="18"/>
                    </w:rPr>
                    <w:t>无</w:t>
                  </w:r>
                </w:p>
              </w:tc>
              <w:tc>
                <w:tcPr>
                  <w:tcW w:w="2340" w:type="dxa"/>
                  <w:tcBorders>
                    <w:top w:val="single" w:color="auto" w:sz="4" w:space="0"/>
                    <w:left w:val="nil"/>
                    <w:bottom w:val="single" w:color="auto" w:sz="4" w:space="0"/>
                    <w:right w:val="single" w:color="auto" w:sz="4" w:space="0"/>
                  </w:tcBorders>
                  <w:vAlign w:val="center"/>
                </w:tcPr>
                <w:p>
                  <w:pPr>
                    <w:pStyle w:val="65"/>
                    <w:rPr>
                      <w:rStyle w:val="55"/>
                      <w:rFonts w:cs="宋体"/>
                      <w:b w:val="0"/>
                      <w:bCs w:val="0"/>
                      <w:color w:val="auto"/>
                      <w:sz w:val="18"/>
                      <w:szCs w:val="18"/>
                    </w:rPr>
                  </w:pPr>
                  <w:r>
                    <w:rPr>
                      <w:rStyle w:val="55"/>
                      <w:rFonts w:hint="eastAsia" w:cs="宋体"/>
                      <w:b w:val="0"/>
                      <w:bCs w:val="0"/>
                      <w:color w:val="auto"/>
                      <w:sz w:val="18"/>
                      <w:szCs w:val="18"/>
                    </w:rPr>
                    <w:t>±</w:t>
                  </w:r>
                  <w:r>
                    <w:rPr>
                      <w:rStyle w:val="55"/>
                      <w:rFonts w:cs="宋体"/>
                      <w:b w:val="0"/>
                      <w:bCs w:val="0"/>
                      <w:color w:val="auto"/>
                      <w:sz w:val="18"/>
                      <w:szCs w:val="18"/>
                    </w:rPr>
                    <w:t>0.3米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tcPr>
                <w:p>
                  <w:pPr>
                    <w:pStyle w:val="65"/>
                  </w:pPr>
                  <w:r>
                    <w:rPr>
                      <w:rFonts w:hint="eastAsia"/>
                      <w:lang w:bidi="ar"/>
                    </w:rPr>
                    <w:t>震害损毁检测</w:t>
                  </w:r>
                </w:p>
              </w:tc>
              <w:tc>
                <w:tcPr>
                  <w:tcW w:w="2520" w:type="dxa"/>
                  <w:tcBorders>
                    <w:top w:val="single" w:color="auto" w:sz="4" w:space="0"/>
                    <w:left w:val="nil"/>
                    <w:bottom w:val="single" w:color="auto" w:sz="4" w:space="0"/>
                    <w:right w:val="single" w:color="auto" w:sz="4" w:space="0"/>
                  </w:tcBorders>
                </w:tcPr>
                <w:p>
                  <w:pPr>
                    <w:pStyle w:val="65"/>
                  </w:pPr>
                  <w:r>
                    <w:rPr>
                      <w:rFonts w:hint="eastAsia"/>
                      <w:lang w:bidi="ar"/>
                    </w:rPr>
                    <w:t>绝缘子裂痕检测准确率</w:t>
                  </w:r>
                </w:p>
              </w:tc>
              <w:tc>
                <w:tcPr>
                  <w:tcW w:w="2340" w:type="dxa"/>
                  <w:tcBorders>
                    <w:top w:val="single" w:color="auto" w:sz="4" w:space="0"/>
                    <w:left w:val="nil"/>
                    <w:bottom w:val="single" w:color="auto" w:sz="4" w:space="0"/>
                    <w:right w:val="single" w:color="auto" w:sz="4" w:space="0"/>
                  </w:tcBorders>
                </w:tcPr>
                <w:p>
                  <w:pPr>
                    <w:pStyle w:val="65"/>
                  </w:pPr>
                  <w:r>
                    <w:rPr>
                      <w:rFonts w:hint="eastAsia"/>
                    </w:rPr>
                    <w:t>8</w:t>
                  </w:r>
                  <w:r>
                    <w:t>5%</w:t>
                  </w:r>
                </w:p>
              </w:tc>
              <w:tc>
                <w:tcPr>
                  <w:tcW w:w="2340" w:type="dxa"/>
                  <w:tcBorders>
                    <w:top w:val="single" w:color="auto" w:sz="4" w:space="0"/>
                    <w:left w:val="nil"/>
                    <w:bottom w:val="single" w:color="auto" w:sz="4" w:space="0"/>
                    <w:right w:val="single" w:color="auto" w:sz="4" w:space="0"/>
                  </w:tcBorders>
                </w:tcPr>
                <w:p>
                  <w:pPr>
                    <w:pStyle w:val="65"/>
                  </w:pPr>
                  <w:r>
                    <w:rPr>
                      <w:rFonts w:cs="Times New Roman"/>
                      <w:lang w:bidi="ar"/>
                    </w:rPr>
                    <w:t>9</w:t>
                  </w:r>
                  <w:r>
                    <w:rPr>
                      <w:lang w:bidi="ar"/>
                    </w:rPr>
                    <w:t>5</w:t>
                  </w:r>
                  <w:r>
                    <w:rPr>
                      <w:rFonts w:cs="Times New Roman"/>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tcPr>
                <w:p>
                  <w:pPr>
                    <w:pStyle w:val="65"/>
                    <w:rPr>
                      <w:lang w:bidi="ar"/>
                    </w:rPr>
                  </w:pPr>
                  <w:r>
                    <w:rPr>
                      <w:rFonts w:hint="eastAsia"/>
                      <w:lang w:bidi="ar"/>
                    </w:rPr>
                    <w:t>震害损毁检测</w:t>
                  </w:r>
                </w:p>
              </w:tc>
              <w:tc>
                <w:tcPr>
                  <w:tcW w:w="2520" w:type="dxa"/>
                  <w:tcBorders>
                    <w:top w:val="single" w:color="auto" w:sz="4" w:space="0"/>
                    <w:left w:val="nil"/>
                    <w:bottom w:val="single" w:color="auto" w:sz="4" w:space="0"/>
                    <w:right w:val="single" w:color="auto" w:sz="4" w:space="0"/>
                  </w:tcBorders>
                </w:tcPr>
                <w:p>
                  <w:pPr>
                    <w:pStyle w:val="65"/>
                    <w:rPr>
                      <w:lang w:bidi="ar"/>
                    </w:rPr>
                  </w:pPr>
                  <w:r>
                    <w:rPr>
                      <w:rFonts w:hint="eastAsia"/>
                      <w:lang w:bidi="ar"/>
                    </w:rPr>
                    <w:t>柱状设备倾斜检测阈值</w:t>
                  </w:r>
                </w:p>
              </w:tc>
              <w:tc>
                <w:tcPr>
                  <w:tcW w:w="2340" w:type="dxa"/>
                  <w:tcBorders>
                    <w:top w:val="single" w:color="auto" w:sz="4" w:space="0"/>
                    <w:left w:val="nil"/>
                    <w:bottom w:val="single" w:color="auto" w:sz="4" w:space="0"/>
                    <w:right w:val="single" w:color="auto" w:sz="4" w:space="0"/>
                  </w:tcBorders>
                </w:tcPr>
                <w:p>
                  <w:pPr>
                    <w:pStyle w:val="65"/>
                  </w:pPr>
                  <w:r>
                    <w:rPr>
                      <w:rFonts w:hint="eastAsia"/>
                    </w:rPr>
                    <w:t>无</w:t>
                  </w:r>
                </w:p>
              </w:tc>
              <w:tc>
                <w:tcPr>
                  <w:tcW w:w="2340" w:type="dxa"/>
                  <w:tcBorders>
                    <w:top w:val="single" w:color="auto" w:sz="4" w:space="0"/>
                    <w:left w:val="nil"/>
                    <w:bottom w:val="single" w:color="auto" w:sz="4" w:space="0"/>
                    <w:right w:val="single" w:color="auto" w:sz="4" w:space="0"/>
                  </w:tcBorders>
                </w:tcPr>
                <w:p>
                  <w:pPr>
                    <w:pStyle w:val="65"/>
                    <w:rPr>
                      <w:rFonts w:cs="Times New Roman"/>
                      <w:lang w:bidi="ar"/>
                    </w:rPr>
                  </w:pPr>
                  <w:r>
                    <w:rPr>
                      <w:rFonts w:cs="Times New Roman"/>
                      <w:u w:val="single"/>
                      <w:lang w:bidi="ar"/>
                    </w:rPr>
                    <w:t>+</w:t>
                  </w:r>
                  <w:r>
                    <w:rPr>
                      <w:rFonts w:cs="Times New Roman"/>
                      <w:lang w:bidi="ar"/>
                    </w:rPr>
                    <w:t>5</w:t>
                  </w:r>
                  <w:r>
                    <w:rPr>
                      <w:rFonts w:hint="eastAsia" w:cs="Times New Roman"/>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成果形式</w:t>
                  </w:r>
                </w:p>
              </w:tc>
              <w:tc>
                <w:tcPr>
                  <w:tcW w:w="7200" w:type="dxa"/>
                  <w:gridSpan w:val="3"/>
                  <w:tcBorders>
                    <w:top w:val="single" w:color="auto" w:sz="4" w:space="0"/>
                    <w:left w:val="nil"/>
                    <w:bottom w:val="single" w:color="auto" w:sz="4" w:space="0"/>
                    <w:right w:val="single" w:color="auto" w:sz="4" w:space="0"/>
                  </w:tcBorders>
                  <w:vAlign w:val="center"/>
                </w:tcPr>
                <w:p>
                  <w:pPr>
                    <w:snapToGrid w:val="0"/>
                    <w:spacing w:before="20"/>
                    <w:ind w:right="26"/>
                    <w:rPr>
                      <w:rStyle w:val="55"/>
                      <w:rFonts w:ascii="宋体" w:hAnsi="宋体"/>
                      <w:b w:val="0"/>
                      <w:bCs w:val="0"/>
                      <w:color w:val="auto"/>
                      <w:kern w:val="2"/>
                      <w:sz w:val="18"/>
                      <w:szCs w:val="18"/>
                    </w:rPr>
                  </w:pPr>
                  <w:r>
                    <w:rPr>
                      <w:rStyle w:val="55"/>
                      <w:rFonts w:hint="eastAsia" w:ascii="宋体" w:hAnsi="宋体"/>
                      <w:b w:val="0"/>
                      <w:bCs w:val="0"/>
                      <w:color w:val="auto"/>
                      <w:sz w:val="18"/>
                      <w:szCs w:val="18"/>
                    </w:rPr>
                    <w:t>专</w:t>
                  </w:r>
                  <w:r>
                    <w:rPr>
                      <w:rStyle w:val="68"/>
                      <w:rFonts w:hint="eastAsia"/>
                    </w:rPr>
                    <w:t>利</w:t>
                  </w:r>
                  <w:r>
                    <w:rPr>
                      <w:rStyle w:val="55"/>
                      <w:rFonts w:hint="eastAsia" w:ascii="宋体" w:hAnsi="宋体"/>
                      <w:b w:val="0"/>
                      <w:bCs w:val="0"/>
                      <w:color w:val="auto"/>
                      <w:sz w:val="18"/>
                      <w:szCs w:val="18"/>
                    </w:rPr>
                    <w:t xml:space="preserve">（√）  技术标准（）  认证、许可（）  新工艺（） 新装置（） </w:t>
                  </w:r>
                </w:p>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新材料（） 论文专著（√） 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知识产权</w:t>
                  </w:r>
                </w:p>
              </w:tc>
              <w:tc>
                <w:tcPr>
                  <w:tcW w:w="7200" w:type="dxa"/>
                  <w:gridSpan w:val="3"/>
                  <w:tcBorders>
                    <w:top w:val="single" w:color="auto" w:sz="4" w:space="0"/>
                    <w:left w:val="nil"/>
                    <w:bottom w:val="single" w:color="auto" w:sz="4" w:space="0"/>
                    <w:right w:val="single" w:color="auto" w:sz="4" w:space="0"/>
                  </w:tcBorders>
                  <w:vAlign w:val="center"/>
                </w:tcPr>
                <w:p>
                  <w:pPr>
                    <w:widowControl w:val="0"/>
                    <w:snapToGrid w:val="0"/>
                    <w:spacing w:before="20"/>
                    <w:ind w:right="26"/>
                    <w:jc w:val="both"/>
                    <w:rPr>
                      <w:rStyle w:val="55"/>
                      <w:rFonts w:ascii="宋体" w:hAnsi="宋体"/>
                      <w:b w:val="0"/>
                      <w:bCs w:val="0"/>
                      <w:color w:val="auto"/>
                      <w:kern w:val="2"/>
                      <w:sz w:val="18"/>
                      <w:szCs w:val="18"/>
                    </w:rPr>
                  </w:pPr>
                  <w:r>
                    <w:rPr>
                      <w:rStyle w:val="55"/>
                      <w:rFonts w:hint="eastAsia" w:ascii="宋体" w:hAnsi="宋体"/>
                      <w:b w:val="0"/>
                      <w:bCs w:val="0"/>
                      <w:color w:val="auto"/>
                      <w:sz w:val="18"/>
                      <w:szCs w:val="18"/>
                    </w:rPr>
                    <w:t>发明专利授权</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项，发明专利受理</w:t>
                  </w:r>
                  <w:r>
                    <w:rPr>
                      <w:rStyle w:val="55"/>
                      <w:rFonts w:hint="eastAsia"/>
                      <w:b w:val="0"/>
                      <w:bCs w:val="0"/>
                      <w:color w:val="auto"/>
                      <w:sz w:val="18"/>
                      <w:szCs w:val="18"/>
                    </w:rPr>
                    <w:t>__</w:t>
                  </w:r>
                  <w:r>
                    <w:rPr>
                      <w:rStyle w:val="55"/>
                      <w:b w:val="0"/>
                      <w:bCs w:val="0"/>
                      <w:color w:val="auto"/>
                      <w:sz w:val="18"/>
                      <w:szCs w:val="18"/>
                    </w:rPr>
                    <w:t>3</w:t>
                  </w:r>
                  <w:r>
                    <w:rPr>
                      <w:rStyle w:val="55"/>
                      <w:rFonts w:hint="eastAsia"/>
                      <w:b w:val="0"/>
                      <w:bCs w:val="0"/>
                      <w:color w:val="auto"/>
                      <w:sz w:val="18"/>
                      <w:szCs w:val="18"/>
                    </w:rPr>
                    <w:t>__</w:t>
                  </w:r>
                  <w:r>
                    <w:rPr>
                      <w:rStyle w:val="55"/>
                      <w:rFonts w:hint="eastAsia" w:ascii="宋体" w:hAnsi="宋体"/>
                      <w:b w:val="0"/>
                      <w:bCs w:val="0"/>
                      <w:color w:val="auto"/>
                      <w:sz w:val="18"/>
                      <w:szCs w:val="18"/>
                    </w:rPr>
                    <w:t>项，实用新型专利授权</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项，实用新型专利受理</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技术标准制定</w:t>
                  </w:r>
                </w:p>
              </w:tc>
              <w:tc>
                <w:tcPr>
                  <w:tcW w:w="7200" w:type="dxa"/>
                  <w:gridSpan w:val="3"/>
                  <w:tcBorders>
                    <w:top w:val="single" w:color="auto" w:sz="4" w:space="0"/>
                    <w:left w:val="nil"/>
                    <w:bottom w:val="single" w:color="auto" w:sz="4" w:space="0"/>
                    <w:right w:val="single" w:color="auto" w:sz="4" w:space="0"/>
                  </w:tcBorders>
                  <w:vAlign w:val="center"/>
                </w:tcPr>
                <w:p>
                  <w:pPr>
                    <w:widowControl w:val="0"/>
                    <w:snapToGrid w:val="0"/>
                    <w:spacing w:before="20"/>
                    <w:ind w:right="26"/>
                    <w:jc w:val="both"/>
                    <w:rPr>
                      <w:rStyle w:val="55"/>
                      <w:rFonts w:ascii="宋体" w:hAnsi="宋体"/>
                      <w:b w:val="0"/>
                      <w:bCs w:val="0"/>
                      <w:color w:val="auto"/>
                      <w:kern w:val="2"/>
                      <w:sz w:val="18"/>
                      <w:szCs w:val="18"/>
                    </w:rPr>
                  </w:pPr>
                  <w:r>
                    <w:rPr>
                      <w:rStyle w:val="55"/>
                      <w:rFonts w:hint="eastAsia" w:ascii="宋体" w:hAnsi="宋体"/>
                      <w:b w:val="0"/>
                      <w:bCs w:val="0"/>
                      <w:color w:val="auto"/>
                      <w:sz w:val="18"/>
                      <w:szCs w:val="18"/>
                    </w:rPr>
                    <w:t>国际标准</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项，国家、行业标准</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项，地方、企业标准</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 xml:space="preserve">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认证、许可</w:t>
                  </w:r>
                </w:p>
              </w:tc>
              <w:tc>
                <w:tcPr>
                  <w:tcW w:w="7200" w:type="dxa"/>
                  <w:gridSpan w:val="3"/>
                  <w:tcBorders>
                    <w:top w:val="single" w:color="auto" w:sz="4" w:space="0"/>
                    <w:left w:val="nil"/>
                    <w:bottom w:val="single" w:color="auto" w:sz="4" w:space="0"/>
                    <w:right w:val="single" w:color="auto" w:sz="4" w:space="0"/>
                  </w:tcBorders>
                  <w:vAlign w:val="center"/>
                </w:tcPr>
                <w:p>
                  <w:pPr>
                    <w:widowControl w:val="0"/>
                    <w:snapToGrid w:val="0"/>
                    <w:spacing w:before="20"/>
                    <w:ind w:right="26"/>
                    <w:jc w:val="both"/>
                    <w:rPr>
                      <w:rStyle w:val="55"/>
                      <w:rFonts w:ascii="宋体" w:hAnsi="宋体"/>
                      <w:b w:val="0"/>
                      <w:bCs w:val="0"/>
                      <w:color w:val="auto"/>
                      <w:kern w:val="2"/>
                      <w:sz w:val="18"/>
                      <w:szCs w:val="18"/>
                    </w:rPr>
                  </w:pPr>
                  <w:r>
                    <w:rPr>
                      <w:rStyle w:val="55"/>
                      <w:rFonts w:hint="eastAsia" w:ascii="宋体" w:hAnsi="宋体"/>
                      <w:b w:val="0"/>
                      <w:bCs w:val="0"/>
                      <w:color w:val="auto"/>
                      <w:sz w:val="18"/>
                      <w:szCs w:val="18"/>
                    </w:rPr>
                    <w:t>新药证书</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项，新品种审定证书</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项，</w:t>
                  </w:r>
                  <w:r>
                    <w:rPr>
                      <w:rStyle w:val="55"/>
                      <w:b w:val="0"/>
                      <w:bCs w:val="0"/>
                      <w:color w:val="auto"/>
                      <w:sz w:val="18"/>
                      <w:szCs w:val="18"/>
                    </w:rPr>
                    <w:t>计算机软件著作权登记证书</w:t>
                  </w:r>
                  <w:r>
                    <w:rPr>
                      <w:rStyle w:val="55"/>
                      <w:rFonts w:hint="eastAsia" w:ascii="宋体" w:hAnsi="宋体"/>
                      <w:b w:val="0"/>
                      <w:bCs w:val="0"/>
                      <w:color w:val="auto"/>
                      <w:sz w:val="18"/>
                      <w:szCs w:val="18"/>
                    </w:rPr>
                    <w:t>__</w:t>
                  </w:r>
                  <w:r>
                    <w:rPr>
                      <w:rStyle w:val="55"/>
                      <w:rFonts w:ascii="宋体" w:hAnsi="宋体"/>
                      <w:b w:val="0"/>
                      <w:bCs w:val="0"/>
                      <w:color w:val="auto"/>
                      <w:sz w:val="18"/>
                      <w:szCs w:val="18"/>
                    </w:rPr>
                    <w:t>0</w:t>
                  </w:r>
                  <w:r>
                    <w:rPr>
                      <w:rStyle w:val="55"/>
                      <w:rFonts w:hint="eastAsia" w:ascii="宋体" w:hAnsi="宋体"/>
                      <w:b w:val="0"/>
                      <w:bCs w:val="0"/>
                      <w:color w:val="auto"/>
                      <w:sz w:val="18"/>
                      <w:szCs w:val="18"/>
                    </w:rPr>
                    <w:t>__项，新药临床批件</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件，三类医疗器械注册受理证明</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w:t>
                  </w:r>
                  <w:r>
                    <w:rPr>
                      <w:rStyle w:val="55"/>
                      <w:rFonts w:hint="eastAsia" w:ascii="宋体" w:hAnsi="宋体"/>
                      <w:b w:val="0"/>
                      <w:bCs w:val="0"/>
                      <w:color w:val="auto"/>
                      <w:sz w:val="18"/>
                      <w:szCs w:val="18"/>
                    </w:rPr>
                    <w:t>件，三类医疗器械临床试验许可</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论文专著</w:t>
                  </w:r>
                </w:p>
              </w:tc>
              <w:tc>
                <w:tcPr>
                  <w:tcW w:w="7200" w:type="dxa"/>
                  <w:gridSpan w:val="3"/>
                  <w:tcBorders>
                    <w:top w:val="single" w:color="auto" w:sz="4" w:space="0"/>
                    <w:left w:val="nil"/>
                    <w:bottom w:val="single" w:color="auto" w:sz="4" w:space="0"/>
                    <w:right w:val="single" w:color="auto" w:sz="4" w:space="0"/>
                  </w:tcBorders>
                  <w:vAlign w:val="center"/>
                </w:tcPr>
                <w:p>
                  <w:pPr>
                    <w:widowControl w:val="0"/>
                    <w:snapToGrid w:val="0"/>
                    <w:spacing w:before="20"/>
                    <w:ind w:right="26"/>
                    <w:jc w:val="both"/>
                    <w:rPr>
                      <w:rStyle w:val="55"/>
                      <w:rFonts w:ascii="宋体" w:hAnsi="宋体"/>
                      <w:b w:val="0"/>
                      <w:bCs w:val="0"/>
                      <w:color w:val="auto"/>
                      <w:kern w:val="2"/>
                      <w:sz w:val="18"/>
                      <w:szCs w:val="18"/>
                    </w:rPr>
                  </w:pPr>
                  <w:r>
                    <w:rPr>
                      <w:rStyle w:val="55"/>
                      <w:rFonts w:hint="eastAsia" w:ascii="宋体" w:hAnsi="宋体"/>
                      <w:b w:val="0"/>
                      <w:bCs w:val="0"/>
                      <w:color w:val="auto"/>
                      <w:sz w:val="18"/>
                      <w:szCs w:val="18"/>
                    </w:rPr>
                    <w:t>公开发表</w:t>
                  </w:r>
                  <w:r>
                    <w:rPr>
                      <w:rStyle w:val="55"/>
                      <w:rFonts w:hint="eastAsia"/>
                      <w:b w:val="0"/>
                      <w:bCs w:val="0"/>
                      <w:color w:val="auto"/>
                      <w:sz w:val="18"/>
                      <w:szCs w:val="18"/>
                    </w:rPr>
                    <w:t>__</w:t>
                  </w:r>
                  <w:r>
                    <w:rPr>
                      <w:rStyle w:val="55"/>
                      <w:b w:val="0"/>
                      <w:bCs w:val="0"/>
                      <w:color w:val="auto"/>
                      <w:sz w:val="18"/>
                      <w:szCs w:val="18"/>
                    </w:rPr>
                    <w:t>3</w:t>
                  </w:r>
                  <w:r>
                    <w:rPr>
                      <w:rStyle w:val="55"/>
                      <w:rFonts w:hint="eastAsia"/>
                      <w:b w:val="0"/>
                      <w:bCs w:val="0"/>
                      <w:color w:val="auto"/>
                      <w:sz w:val="18"/>
                      <w:szCs w:val="18"/>
                    </w:rPr>
                    <w:t>__</w:t>
                  </w:r>
                  <w:r>
                    <w:rPr>
                      <w:rStyle w:val="55"/>
                      <w:rFonts w:hint="eastAsia" w:ascii="宋体" w:hAnsi="宋体"/>
                      <w:b w:val="0"/>
                      <w:bCs w:val="0"/>
                      <w:color w:val="auto"/>
                      <w:sz w:val="18"/>
                      <w:szCs w:val="18"/>
                    </w:rPr>
                    <w:t>篇，其中：中文核心期刊论文1篇，国外学术论文</w:t>
                  </w:r>
                  <w:r>
                    <w:rPr>
                      <w:rStyle w:val="55"/>
                      <w:rFonts w:ascii="宋体" w:hAnsi="宋体"/>
                      <w:b w:val="0"/>
                      <w:bCs w:val="0"/>
                      <w:color w:val="auto"/>
                      <w:sz w:val="18"/>
                      <w:szCs w:val="18"/>
                    </w:rPr>
                    <w:t>2</w:t>
                  </w:r>
                  <w:r>
                    <w:rPr>
                      <w:rStyle w:val="55"/>
                      <w:rFonts w:hint="eastAsia" w:ascii="宋体" w:hAnsi="宋体"/>
                      <w:b w:val="0"/>
                      <w:bCs w:val="0"/>
                      <w:color w:val="auto"/>
                      <w:sz w:val="18"/>
                      <w:szCs w:val="18"/>
                    </w:rPr>
                    <w:t>篇，论文引用</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次；出版专著</w:t>
                  </w:r>
                  <w:r>
                    <w:rPr>
                      <w:rStyle w:val="55"/>
                      <w:rFonts w:hint="eastAsia"/>
                      <w:b w:val="0"/>
                      <w:bCs w:val="0"/>
                      <w:color w:val="auto"/>
                      <w:sz w:val="18"/>
                      <w:szCs w:val="18"/>
                    </w:rPr>
                    <w:t>__</w:t>
                  </w:r>
                  <w:r>
                    <w:rPr>
                      <w:rStyle w:val="55"/>
                      <w:b w:val="0"/>
                      <w:bCs w:val="0"/>
                      <w:color w:val="auto"/>
                      <w:sz w:val="18"/>
                      <w:szCs w:val="18"/>
                      <w:u w:val="single"/>
                    </w:rPr>
                    <w:t xml:space="preserve">   0   </w:t>
                  </w:r>
                  <w:r>
                    <w:rPr>
                      <w:rStyle w:val="55"/>
                      <w:rFonts w:hint="eastAsia"/>
                      <w:b w:val="0"/>
                      <w:bCs w:val="0"/>
                      <w:color w:val="auto"/>
                      <w:sz w:val="18"/>
                      <w:szCs w:val="18"/>
                    </w:rPr>
                    <w:t>__</w:t>
                  </w:r>
                  <w:r>
                    <w:rPr>
                      <w:rStyle w:val="55"/>
                      <w:rFonts w:hint="eastAsia" w:ascii="宋体" w:hAnsi="宋体"/>
                      <w:b w:val="0"/>
                      <w:bCs w:val="0"/>
                      <w:color w:val="auto"/>
                      <w:sz w:val="18"/>
                      <w:szCs w:val="18"/>
                    </w:rPr>
                    <w:t>部，其中：中文专著0部，外文专著0部。</w:t>
                  </w:r>
                </w:p>
              </w:tc>
            </w:tr>
          </w:tbl>
          <w:p>
            <w:pPr>
              <w:rPr>
                <w:rStyle w:val="55"/>
                <w:rFonts w:ascii="宋体" w:hAnsi="宋体"/>
                <w:color w:val="auto"/>
                <w:sz w:val="18"/>
                <w:szCs w:val="18"/>
              </w:rPr>
            </w:pPr>
            <w:r>
              <w:rPr>
                <w:rStyle w:val="55"/>
                <w:rFonts w:hint="eastAsia" w:ascii="宋体" w:hAnsi="宋体"/>
                <w:color w:val="auto"/>
                <w:sz w:val="18"/>
                <w:szCs w:val="18"/>
              </w:rPr>
              <w:t xml:space="preserve"> </w:t>
            </w:r>
          </w:p>
          <w:p>
            <w:pPr>
              <w:pStyle w:val="14"/>
              <w:wordWrap w:val="0"/>
              <w:rPr>
                <w:rStyle w:val="55"/>
                <w:rFonts w:ascii="宋体" w:hAnsi="宋体"/>
                <w:color w:val="auto"/>
                <w:sz w:val="18"/>
                <w:szCs w:val="18"/>
              </w:rPr>
            </w:pPr>
            <w:r>
              <w:rPr>
                <w:rStyle w:val="55"/>
                <w:rFonts w:hint="eastAsia" w:ascii="宋体" w:hAnsi="宋体"/>
                <w:color w:val="auto"/>
                <w:sz w:val="18"/>
                <w:szCs w:val="18"/>
              </w:rPr>
              <w:t>2、示范应用目标（所有重点研发项目，此项与经济效益指标、社会效益目标必须选填1项）</w:t>
            </w:r>
          </w:p>
          <w:tbl>
            <w:tblPr>
              <w:tblStyle w:val="16"/>
              <w:tblW w:w="9540" w:type="dxa"/>
              <w:tblInd w:w="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0"/>
              <w:gridCol w:w="7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trPr>
              <w:tc>
                <w:tcPr>
                  <w:tcW w:w="234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示范基地及规模</w:t>
                  </w:r>
                </w:p>
              </w:tc>
              <w:tc>
                <w:tcPr>
                  <w:tcW w:w="7200"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34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中试线及规模</w:t>
                  </w:r>
                </w:p>
              </w:tc>
              <w:tc>
                <w:tcPr>
                  <w:tcW w:w="7200"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234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推广应用目标</w:t>
                  </w:r>
                </w:p>
              </w:tc>
              <w:tc>
                <w:tcPr>
                  <w:tcW w:w="7200"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234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培训（科技培训项目必填）</w:t>
                  </w:r>
                </w:p>
              </w:tc>
              <w:tc>
                <w:tcPr>
                  <w:tcW w:w="7200"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办</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期培训班，培训农村科技人员</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人、培训企业科技人员</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人、培训科技管理人员</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人、培训医疗技术、推广人员</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__人</w:t>
                  </w:r>
                  <w:r>
                    <w:rPr>
                      <w:rStyle w:val="55"/>
                      <w:rFonts w:hint="eastAsia" w:ascii="宋体" w:hAnsi="宋体"/>
                      <w:b w:val="0"/>
                      <w:bCs w:val="0"/>
                      <w:color w:val="auto"/>
                      <w:sz w:val="18"/>
                      <w:szCs w:val="18"/>
                    </w:rPr>
                    <w:t>。</w:t>
                  </w:r>
                </w:p>
              </w:tc>
            </w:tr>
          </w:tbl>
          <w:p>
            <w:pPr>
              <w:pStyle w:val="14"/>
              <w:wordWrap w:val="0"/>
              <w:rPr>
                <w:rStyle w:val="55"/>
                <w:color w:val="auto"/>
                <w:sz w:val="18"/>
                <w:szCs w:val="18"/>
              </w:rPr>
            </w:pPr>
            <w:r>
              <w:rPr>
                <w:rStyle w:val="55"/>
                <w:rFonts w:hint="eastAsia" w:ascii="宋体" w:hAnsi="宋体"/>
                <w:color w:val="auto"/>
                <w:sz w:val="18"/>
                <w:szCs w:val="18"/>
              </w:rPr>
              <w:t>3、经济效益目标（所有重点研发项目，此项与示范应用目标、社会效益目标必须选填1项）</w:t>
            </w:r>
          </w:p>
          <w:tbl>
            <w:tblPr>
              <w:tblStyle w:val="16"/>
              <w:tblW w:w="9515" w:type="dxa"/>
              <w:tblInd w:w="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6"/>
              <w:gridCol w:w="2629"/>
              <w:gridCol w:w="2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4156" w:type="dxa"/>
                  <w:tcBorders>
                    <w:top w:val="single" w:color="auto" w:sz="4" w:space="0"/>
                    <w:left w:val="single" w:color="auto" w:sz="4" w:space="0"/>
                    <w:bottom w:val="single" w:color="auto" w:sz="4" w:space="0"/>
                    <w:right w:val="single" w:color="auto" w:sz="4" w:space="0"/>
                  </w:tcBorders>
                  <w:vAlign w:val="center"/>
                </w:tcPr>
                <w:p>
                  <w:pPr>
                    <w:pStyle w:val="14"/>
                    <w:rPr>
                      <w:rStyle w:val="55"/>
                      <w:rFonts w:ascii="宋体" w:hAnsi="宋体"/>
                      <w:color w:val="auto"/>
                      <w:sz w:val="18"/>
                      <w:szCs w:val="18"/>
                    </w:rPr>
                  </w:pPr>
                </w:p>
              </w:tc>
              <w:tc>
                <w:tcPr>
                  <w:tcW w:w="2629" w:type="dxa"/>
                  <w:tcBorders>
                    <w:top w:val="single" w:color="auto" w:sz="4" w:space="0"/>
                    <w:left w:val="nil"/>
                    <w:bottom w:val="single" w:color="auto" w:sz="4" w:space="0"/>
                    <w:right w:val="single" w:color="auto" w:sz="4" w:space="0"/>
                  </w:tcBorders>
                  <w:vAlign w:val="center"/>
                </w:tcPr>
                <w:p>
                  <w:pPr>
                    <w:pStyle w:val="14"/>
                    <w:wordWrap w:val="0"/>
                    <w:jc w:val="center"/>
                    <w:rPr>
                      <w:rStyle w:val="55"/>
                      <w:rFonts w:ascii="宋体" w:hAnsi="宋体"/>
                      <w:color w:val="auto"/>
                      <w:sz w:val="18"/>
                      <w:szCs w:val="18"/>
                    </w:rPr>
                  </w:pPr>
                  <w:r>
                    <w:rPr>
                      <w:rStyle w:val="55"/>
                      <w:rFonts w:hint="eastAsia" w:ascii="宋体" w:hAnsi="宋体"/>
                      <w:color w:val="auto"/>
                      <w:sz w:val="18"/>
                      <w:szCs w:val="18"/>
                    </w:rPr>
                    <w:t>现有指标</w:t>
                  </w:r>
                </w:p>
              </w:tc>
              <w:tc>
                <w:tcPr>
                  <w:tcW w:w="2730" w:type="dxa"/>
                  <w:tcBorders>
                    <w:top w:val="single" w:color="auto" w:sz="4" w:space="0"/>
                    <w:left w:val="nil"/>
                    <w:bottom w:val="single" w:color="auto" w:sz="4" w:space="0"/>
                    <w:right w:val="single" w:color="auto" w:sz="4" w:space="0"/>
                  </w:tcBorders>
                  <w:vAlign w:val="center"/>
                </w:tcPr>
                <w:p>
                  <w:pPr>
                    <w:pStyle w:val="14"/>
                    <w:wordWrap w:val="0"/>
                    <w:jc w:val="center"/>
                    <w:rPr>
                      <w:rStyle w:val="55"/>
                      <w:rFonts w:ascii="宋体" w:hAnsi="宋体"/>
                      <w:color w:val="auto"/>
                      <w:sz w:val="18"/>
                      <w:szCs w:val="18"/>
                    </w:rPr>
                  </w:pPr>
                  <w:r>
                    <w:rPr>
                      <w:rStyle w:val="55"/>
                      <w:rFonts w:hint="eastAsia" w:ascii="宋体" w:hAnsi="宋体"/>
                      <w:color w:val="auto"/>
                      <w:sz w:val="18"/>
                      <w:szCs w:val="18"/>
                    </w:rPr>
                    <w:t>项目完成时的预期达到指标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4156"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销售收入</w:t>
                  </w:r>
                </w:p>
              </w:tc>
              <w:tc>
                <w:tcPr>
                  <w:tcW w:w="2629" w:type="dxa"/>
                  <w:tcBorders>
                    <w:top w:val="single" w:color="auto" w:sz="4" w:space="0"/>
                    <w:left w:val="nil"/>
                    <w:bottom w:val="single" w:color="auto" w:sz="4" w:space="0"/>
                    <w:right w:val="single" w:color="auto" w:sz="4" w:space="0"/>
                  </w:tcBorders>
                  <w:vAlign w:val="center"/>
                </w:tcPr>
                <w:p>
                  <w:pPr>
                    <w:pStyle w:val="14"/>
                    <w:wordWrap w:val="0"/>
                    <w:jc w:val="center"/>
                    <w:rPr>
                      <w:rStyle w:val="55"/>
                      <w:rFonts w:ascii="宋体" w:hAnsi="宋体"/>
                      <w:b w:val="0"/>
                      <w:bCs w:val="0"/>
                      <w:color w:val="auto"/>
                      <w:sz w:val="18"/>
                      <w:szCs w:val="18"/>
                    </w:rPr>
                  </w:pPr>
                  <w:r>
                    <w:rPr>
                      <w:rStyle w:val="55"/>
                      <w:rFonts w:hint="eastAsia" w:ascii="宋体" w:hAnsi="宋体"/>
                      <w:b w:val="0"/>
                      <w:bCs w:val="0"/>
                      <w:color w:val="auto"/>
                      <w:sz w:val="18"/>
                      <w:szCs w:val="18"/>
                    </w:rPr>
                    <w:t>________  万元</w:t>
                  </w:r>
                </w:p>
              </w:tc>
              <w:tc>
                <w:tcPr>
                  <w:tcW w:w="2730" w:type="dxa"/>
                  <w:tcBorders>
                    <w:top w:val="single" w:color="auto" w:sz="4" w:space="0"/>
                    <w:left w:val="nil"/>
                    <w:bottom w:val="single" w:color="auto" w:sz="4" w:space="0"/>
                    <w:right w:val="single" w:color="auto" w:sz="4" w:space="0"/>
                  </w:tcBorders>
                  <w:vAlign w:val="center"/>
                </w:tcPr>
                <w:p>
                  <w:pPr>
                    <w:pStyle w:val="14"/>
                    <w:wordWrap w:val="0"/>
                    <w:jc w:val="center"/>
                    <w:rPr>
                      <w:rStyle w:val="55"/>
                      <w:rFonts w:ascii="宋体" w:hAnsi="宋体"/>
                      <w:b w:val="0"/>
                      <w:bCs w:val="0"/>
                      <w:color w:val="auto"/>
                      <w:sz w:val="18"/>
                      <w:szCs w:val="18"/>
                    </w:rPr>
                  </w:pPr>
                  <w:r>
                    <w:rPr>
                      <w:rStyle w:val="55"/>
                      <w:rFonts w:hint="eastAsia" w:ascii="宋体" w:hAnsi="宋体"/>
                      <w:b w:val="0"/>
                      <w:bCs w:val="0"/>
                      <w:color w:val="auto"/>
                      <w:sz w:val="18"/>
                      <w:szCs w:val="18"/>
                    </w:rPr>
                    <w:t>________  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4156"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节创汇</w:t>
                  </w:r>
                </w:p>
              </w:tc>
              <w:tc>
                <w:tcPr>
                  <w:tcW w:w="2629" w:type="dxa"/>
                  <w:tcBorders>
                    <w:top w:val="single" w:color="auto" w:sz="4" w:space="0"/>
                    <w:left w:val="nil"/>
                    <w:bottom w:val="single" w:color="auto" w:sz="4" w:space="0"/>
                    <w:right w:val="single" w:color="auto" w:sz="4" w:space="0"/>
                  </w:tcBorders>
                  <w:vAlign w:val="center"/>
                </w:tcPr>
                <w:p>
                  <w:pPr>
                    <w:pStyle w:val="14"/>
                    <w:wordWrap w:val="0"/>
                    <w:jc w:val="center"/>
                    <w:rPr>
                      <w:rStyle w:val="55"/>
                      <w:rFonts w:ascii="宋体" w:hAnsi="宋体"/>
                      <w:b w:val="0"/>
                      <w:bCs w:val="0"/>
                      <w:color w:val="auto"/>
                      <w:sz w:val="18"/>
                      <w:szCs w:val="18"/>
                    </w:rPr>
                  </w:pPr>
                  <w:r>
                    <w:rPr>
                      <w:rStyle w:val="55"/>
                      <w:rFonts w:hint="eastAsia" w:ascii="宋体" w:hAnsi="宋体"/>
                      <w:b w:val="0"/>
                      <w:bCs w:val="0"/>
                      <w:color w:val="auto"/>
                      <w:sz w:val="18"/>
                      <w:szCs w:val="18"/>
                    </w:rPr>
                    <w:t>________  万元</w:t>
                  </w:r>
                </w:p>
              </w:tc>
              <w:tc>
                <w:tcPr>
                  <w:tcW w:w="2730" w:type="dxa"/>
                  <w:tcBorders>
                    <w:top w:val="single" w:color="auto" w:sz="4" w:space="0"/>
                    <w:left w:val="nil"/>
                    <w:bottom w:val="single" w:color="auto" w:sz="4" w:space="0"/>
                    <w:right w:val="single" w:color="auto" w:sz="4" w:space="0"/>
                  </w:tcBorders>
                  <w:vAlign w:val="center"/>
                </w:tcPr>
                <w:p>
                  <w:pPr>
                    <w:pStyle w:val="14"/>
                    <w:wordWrap w:val="0"/>
                    <w:jc w:val="center"/>
                    <w:rPr>
                      <w:rStyle w:val="55"/>
                      <w:rFonts w:ascii="宋体" w:hAnsi="宋体"/>
                      <w:b w:val="0"/>
                      <w:bCs w:val="0"/>
                      <w:color w:val="auto"/>
                      <w:sz w:val="18"/>
                      <w:szCs w:val="18"/>
                    </w:rPr>
                  </w:pPr>
                  <w:r>
                    <w:rPr>
                      <w:rStyle w:val="55"/>
                      <w:rFonts w:hint="eastAsia" w:ascii="宋体" w:hAnsi="宋体"/>
                      <w:b w:val="0"/>
                      <w:bCs w:val="0"/>
                      <w:color w:val="auto"/>
                      <w:sz w:val="18"/>
                      <w:szCs w:val="18"/>
                    </w:rPr>
                    <w:t>________  万元</w:t>
                  </w:r>
                </w:p>
              </w:tc>
            </w:tr>
          </w:tbl>
          <w:p>
            <w:pPr>
              <w:pStyle w:val="14"/>
              <w:wordWrap w:val="0"/>
              <w:rPr>
                <w:rStyle w:val="55"/>
                <w:rFonts w:ascii="宋体" w:hAnsi="宋体"/>
                <w:color w:val="auto"/>
                <w:sz w:val="18"/>
                <w:szCs w:val="18"/>
              </w:rPr>
            </w:pPr>
            <w:r>
              <w:rPr>
                <w:rStyle w:val="55"/>
                <w:rFonts w:hint="eastAsia" w:ascii="宋体" w:hAnsi="宋体"/>
                <w:color w:val="auto"/>
                <w:sz w:val="18"/>
                <w:szCs w:val="18"/>
              </w:rPr>
              <w:t>4、平台建设目标</w:t>
            </w:r>
          </w:p>
          <w:tbl>
            <w:tblPr>
              <w:tblStyle w:val="16"/>
              <w:tblW w:w="9540" w:type="dxa"/>
              <w:tblInd w:w="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0"/>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平台</w:t>
                  </w:r>
                </w:p>
              </w:tc>
              <w:tc>
                <w:tcPr>
                  <w:tcW w:w="7740"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四川省产业技术研究院（） 重点实验室（） 工程技术研究中心（） 产业技术创新联盟（） 科技企业孵化器（） 示范生产力促进中心（） 其他平台（）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trPr>
              <w:tc>
                <w:tcPr>
                  <w:tcW w:w="180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平台建设内容</w:t>
                  </w:r>
                </w:p>
              </w:tc>
              <w:tc>
                <w:tcPr>
                  <w:tcW w:w="7740"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无</w:t>
                  </w:r>
                </w:p>
              </w:tc>
            </w:tr>
          </w:tbl>
          <w:p>
            <w:pPr>
              <w:widowControl w:val="0"/>
              <w:ind w:left="360"/>
              <w:jc w:val="both"/>
              <w:rPr>
                <w:rStyle w:val="55"/>
                <w:rFonts w:ascii="宋体" w:hAnsi="宋体"/>
                <w:color w:val="auto"/>
                <w:sz w:val="18"/>
                <w:szCs w:val="18"/>
              </w:rPr>
            </w:pPr>
            <w:r>
              <w:rPr>
                <w:rStyle w:val="55"/>
                <w:rFonts w:hint="eastAsia" w:ascii="宋体" w:hAnsi="宋体"/>
                <w:color w:val="auto"/>
                <w:sz w:val="18"/>
                <w:szCs w:val="18"/>
              </w:rPr>
              <w:t>5、技术和人才合作目标</w:t>
            </w:r>
          </w:p>
          <w:p>
            <w:pPr>
              <w:rPr>
                <w:rStyle w:val="55"/>
                <w:rFonts w:ascii="宋体" w:hAnsi="宋体"/>
                <w:color w:val="auto"/>
                <w:sz w:val="18"/>
                <w:szCs w:val="18"/>
              </w:rPr>
            </w:pPr>
            <w:r>
              <w:rPr>
                <w:rStyle w:val="55"/>
                <w:rFonts w:hint="eastAsia" w:ascii="宋体" w:hAnsi="宋体"/>
                <w:color w:val="auto"/>
                <w:sz w:val="18"/>
                <w:szCs w:val="18"/>
              </w:rPr>
              <w:t xml:space="preserve"> </w:t>
            </w:r>
          </w:p>
          <w:tbl>
            <w:tblPr>
              <w:tblStyle w:val="16"/>
              <w:tblW w:w="9540" w:type="dxa"/>
              <w:tblInd w:w="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0"/>
              <w:gridCol w:w="1260"/>
              <w:gridCol w:w="1240"/>
              <w:gridCol w:w="47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40" w:type="dxa"/>
                  <w:tcBorders>
                    <w:top w:val="single" w:color="000000" w:sz="4" w:space="0"/>
                    <w:left w:val="single" w:color="000000" w:sz="4" w:space="0"/>
                    <w:bottom w:val="single" w:color="000000" w:sz="4" w:space="0"/>
                    <w:right w:val="single" w:color="000000" w:sz="4" w:space="0"/>
                  </w:tcBorders>
                  <w:vAlign w:val="center"/>
                </w:tcPr>
                <w:p>
                  <w:pPr>
                    <w:widowControl w:val="0"/>
                    <w:jc w:val="both"/>
                    <w:rPr>
                      <w:rStyle w:val="55"/>
                      <w:color w:val="auto"/>
                      <w:kern w:val="2"/>
                      <w:sz w:val="18"/>
                      <w:szCs w:val="18"/>
                    </w:rPr>
                  </w:pPr>
                  <w:r>
                    <w:rPr>
                      <w:rStyle w:val="55"/>
                      <w:rFonts w:hint="eastAsia" w:ascii="宋体" w:hAnsi="宋体"/>
                      <w:color w:val="auto"/>
                      <w:sz w:val="18"/>
                      <w:szCs w:val="18"/>
                    </w:rPr>
                    <w:t>引进关键技术</w:t>
                  </w:r>
                </w:p>
              </w:tc>
              <w:tc>
                <w:tcPr>
                  <w:tcW w:w="1260" w:type="dxa"/>
                  <w:tcBorders>
                    <w:top w:val="single" w:color="000000" w:sz="4" w:space="0"/>
                    <w:left w:val="nil"/>
                    <w:bottom w:val="single" w:color="000000" w:sz="4" w:space="0"/>
                    <w:right w:val="single" w:color="000000" w:sz="4" w:space="0"/>
                  </w:tcBorders>
                  <w:vAlign w:val="center"/>
                </w:tcPr>
                <w:p>
                  <w:pPr>
                    <w:widowControl w:val="0"/>
                    <w:jc w:val="both"/>
                    <w:rPr>
                      <w:rStyle w:val="55"/>
                      <w:b w:val="0"/>
                      <w:bCs w:val="0"/>
                      <w:color w:val="auto"/>
                      <w:kern w:val="2"/>
                      <w:sz w:val="18"/>
                      <w:szCs w:val="18"/>
                    </w:rPr>
                  </w:pPr>
                  <w:r>
                    <w:rPr>
                      <w:rStyle w:val="55"/>
                      <w:b w:val="0"/>
                      <w:bCs w:val="0"/>
                      <w:color w:val="auto"/>
                      <w:sz w:val="18"/>
                      <w:szCs w:val="18"/>
                    </w:rPr>
                    <w:t>___0__</w:t>
                  </w:r>
                  <w:r>
                    <w:rPr>
                      <w:rStyle w:val="55"/>
                      <w:rFonts w:hint="eastAsia" w:ascii="宋体" w:hAnsi="宋体"/>
                      <w:b w:val="0"/>
                      <w:bCs w:val="0"/>
                      <w:color w:val="auto"/>
                      <w:sz w:val="18"/>
                      <w:szCs w:val="18"/>
                    </w:rPr>
                    <w:t>项</w:t>
                  </w:r>
                </w:p>
              </w:tc>
              <w:tc>
                <w:tcPr>
                  <w:tcW w:w="1240" w:type="dxa"/>
                  <w:tcBorders>
                    <w:top w:val="single" w:color="000000" w:sz="4" w:space="0"/>
                    <w:left w:val="nil"/>
                    <w:bottom w:val="single" w:color="000000" w:sz="4" w:space="0"/>
                    <w:right w:val="single" w:color="000000" w:sz="4" w:space="0"/>
                  </w:tcBorders>
                  <w:vAlign w:val="center"/>
                </w:tcPr>
                <w:p>
                  <w:pPr>
                    <w:widowControl w:val="0"/>
                    <w:jc w:val="both"/>
                    <w:rPr>
                      <w:rStyle w:val="55"/>
                      <w:color w:val="auto"/>
                      <w:kern w:val="2"/>
                      <w:sz w:val="18"/>
                      <w:szCs w:val="18"/>
                    </w:rPr>
                  </w:pPr>
                  <w:r>
                    <w:rPr>
                      <w:rStyle w:val="55"/>
                      <w:rFonts w:hint="eastAsia" w:ascii="宋体" w:hAnsi="宋体"/>
                      <w:color w:val="auto"/>
                      <w:sz w:val="18"/>
                      <w:szCs w:val="18"/>
                    </w:rPr>
                    <w:t>技术名称</w:t>
                  </w:r>
                </w:p>
              </w:tc>
              <w:tc>
                <w:tcPr>
                  <w:tcW w:w="4700" w:type="dxa"/>
                  <w:tcBorders>
                    <w:top w:val="single" w:color="000000" w:sz="4" w:space="0"/>
                    <w:left w:val="nil"/>
                    <w:bottom w:val="single" w:color="000000" w:sz="4" w:space="0"/>
                    <w:right w:val="single" w:color="000000" w:sz="4" w:space="0"/>
                  </w:tcBorders>
                  <w:vAlign w:val="center"/>
                </w:tcPr>
                <w:p>
                  <w:pPr>
                    <w:widowControl w:val="0"/>
                    <w:jc w:val="both"/>
                    <w:rPr>
                      <w:rStyle w:val="55"/>
                      <w:b w:val="0"/>
                      <w:bCs w:val="0"/>
                      <w:color w:val="auto"/>
                      <w:kern w:val="2"/>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40" w:type="dxa"/>
                  <w:tcBorders>
                    <w:top w:val="single" w:color="000000" w:sz="4" w:space="0"/>
                    <w:left w:val="single" w:color="000000" w:sz="4" w:space="0"/>
                    <w:bottom w:val="single" w:color="000000" w:sz="4" w:space="0"/>
                    <w:right w:val="single" w:color="000000" w:sz="4" w:space="0"/>
                  </w:tcBorders>
                  <w:vAlign w:val="center"/>
                </w:tcPr>
                <w:p>
                  <w:pPr>
                    <w:widowControl w:val="0"/>
                    <w:jc w:val="both"/>
                    <w:rPr>
                      <w:rStyle w:val="55"/>
                      <w:color w:val="auto"/>
                      <w:kern w:val="2"/>
                      <w:sz w:val="18"/>
                      <w:szCs w:val="18"/>
                    </w:rPr>
                  </w:pPr>
                  <w:r>
                    <w:rPr>
                      <w:rStyle w:val="55"/>
                      <w:rFonts w:hint="eastAsia" w:ascii="宋体" w:hAnsi="宋体"/>
                      <w:color w:val="auto"/>
                      <w:sz w:val="18"/>
                      <w:szCs w:val="18"/>
                    </w:rPr>
                    <w:t>引进关键设备</w:t>
                  </w:r>
                </w:p>
              </w:tc>
              <w:tc>
                <w:tcPr>
                  <w:tcW w:w="1260" w:type="dxa"/>
                  <w:tcBorders>
                    <w:top w:val="single" w:color="000000" w:sz="4" w:space="0"/>
                    <w:left w:val="nil"/>
                    <w:bottom w:val="single" w:color="000000" w:sz="4" w:space="0"/>
                    <w:right w:val="single" w:color="000000" w:sz="4" w:space="0"/>
                  </w:tcBorders>
                  <w:vAlign w:val="center"/>
                </w:tcPr>
                <w:p>
                  <w:pPr>
                    <w:widowControl w:val="0"/>
                    <w:jc w:val="both"/>
                    <w:rPr>
                      <w:rStyle w:val="55"/>
                      <w:b w:val="0"/>
                      <w:bCs w:val="0"/>
                      <w:color w:val="auto"/>
                      <w:kern w:val="2"/>
                      <w:sz w:val="18"/>
                      <w:szCs w:val="18"/>
                    </w:rPr>
                  </w:pPr>
                  <w:r>
                    <w:rPr>
                      <w:rStyle w:val="55"/>
                      <w:b w:val="0"/>
                      <w:bCs w:val="0"/>
                      <w:color w:val="auto"/>
                      <w:sz w:val="18"/>
                      <w:szCs w:val="18"/>
                    </w:rPr>
                    <w:t>___0__</w:t>
                  </w:r>
                  <w:r>
                    <w:rPr>
                      <w:rStyle w:val="55"/>
                      <w:rFonts w:hint="eastAsia" w:ascii="宋体" w:hAnsi="宋体"/>
                      <w:b w:val="0"/>
                      <w:bCs w:val="0"/>
                      <w:color w:val="auto"/>
                      <w:sz w:val="18"/>
                      <w:szCs w:val="18"/>
                    </w:rPr>
                    <w:t>台</w:t>
                  </w:r>
                </w:p>
              </w:tc>
              <w:tc>
                <w:tcPr>
                  <w:tcW w:w="1240" w:type="dxa"/>
                  <w:tcBorders>
                    <w:top w:val="single" w:color="000000" w:sz="4" w:space="0"/>
                    <w:left w:val="nil"/>
                    <w:bottom w:val="single" w:color="000000" w:sz="4" w:space="0"/>
                    <w:right w:val="single" w:color="000000" w:sz="4" w:space="0"/>
                  </w:tcBorders>
                  <w:vAlign w:val="center"/>
                </w:tcPr>
                <w:p>
                  <w:pPr>
                    <w:widowControl w:val="0"/>
                    <w:jc w:val="both"/>
                    <w:rPr>
                      <w:rStyle w:val="55"/>
                      <w:color w:val="auto"/>
                      <w:kern w:val="2"/>
                      <w:sz w:val="18"/>
                      <w:szCs w:val="18"/>
                    </w:rPr>
                  </w:pPr>
                  <w:r>
                    <w:rPr>
                      <w:rStyle w:val="55"/>
                      <w:rFonts w:hint="eastAsia" w:ascii="宋体" w:hAnsi="宋体"/>
                      <w:color w:val="auto"/>
                      <w:sz w:val="18"/>
                      <w:szCs w:val="18"/>
                    </w:rPr>
                    <w:t>设备名称</w:t>
                  </w:r>
                </w:p>
              </w:tc>
              <w:tc>
                <w:tcPr>
                  <w:tcW w:w="4700" w:type="dxa"/>
                  <w:tcBorders>
                    <w:top w:val="single" w:color="000000" w:sz="4" w:space="0"/>
                    <w:left w:val="nil"/>
                    <w:bottom w:val="single" w:color="000000" w:sz="4" w:space="0"/>
                    <w:right w:val="single" w:color="000000" w:sz="4" w:space="0"/>
                  </w:tcBorders>
                  <w:vAlign w:val="center"/>
                </w:tcPr>
                <w:p>
                  <w:pPr>
                    <w:widowControl w:val="0"/>
                    <w:jc w:val="both"/>
                    <w:rPr>
                      <w:rStyle w:val="55"/>
                      <w:b w:val="0"/>
                      <w:bCs w:val="0"/>
                      <w:color w:val="auto"/>
                      <w:kern w:val="2"/>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40" w:type="dxa"/>
                  <w:tcBorders>
                    <w:top w:val="single" w:color="000000" w:sz="4" w:space="0"/>
                    <w:left w:val="single" w:color="000000" w:sz="4" w:space="0"/>
                    <w:bottom w:val="single" w:color="000000" w:sz="4" w:space="0"/>
                    <w:right w:val="single" w:color="000000" w:sz="4" w:space="0"/>
                  </w:tcBorders>
                  <w:vAlign w:val="center"/>
                </w:tcPr>
                <w:p>
                  <w:pPr>
                    <w:widowControl w:val="0"/>
                    <w:jc w:val="both"/>
                    <w:rPr>
                      <w:rStyle w:val="55"/>
                      <w:color w:val="auto"/>
                      <w:kern w:val="2"/>
                      <w:sz w:val="18"/>
                      <w:szCs w:val="18"/>
                    </w:rPr>
                  </w:pPr>
                  <w:r>
                    <w:rPr>
                      <w:rStyle w:val="55"/>
                      <w:rFonts w:hint="eastAsia" w:ascii="宋体" w:hAnsi="宋体"/>
                      <w:color w:val="auto"/>
                      <w:sz w:val="18"/>
                      <w:szCs w:val="18"/>
                    </w:rPr>
                    <w:t>引进特有资源</w:t>
                  </w:r>
                </w:p>
              </w:tc>
              <w:tc>
                <w:tcPr>
                  <w:tcW w:w="1260" w:type="dxa"/>
                  <w:tcBorders>
                    <w:top w:val="single" w:color="000000" w:sz="4" w:space="0"/>
                    <w:left w:val="nil"/>
                    <w:bottom w:val="single" w:color="000000" w:sz="4" w:space="0"/>
                    <w:right w:val="single" w:color="000000" w:sz="4" w:space="0"/>
                  </w:tcBorders>
                  <w:vAlign w:val="center"/>
                </w:tcPr>
                <w:p>
                  <w:pPr>
                    <w:widowControl w:val="0"/>
                    <w:jc w:val="both"/>
                    <w:rPr>
                      <w:rStyle w:val="55"/>
                      <w:b w:val="0"/>
                      <w:bCs w:val="0"/>
                      <w:color w:val="auto"/>
                      <w:kern w:val="2"/>
                      <w:sz w:val="18"/>
                      <w:szCs w:val="18"/>
                    </w:rPr>
                  </w:pPr>
                  <w:r>
                    <w:rPr>
                      <w:rStyle w:val="55"/>
                      <w:b w:val="0"/>
                      <w:bCs w:val="0"/>
                      <w:color w:val="auto"/>
                      <w:sz w:val="18"/>
                      <w:szCs w:val="18"/>
                    </w:rPr>
                    <w:t>___0__</w:t>
                  </w:r>
                  <w:r>
                    <w:rPr>
                      <w:rStyle w:val="55"/>
                      <w:rFonts w:hint="eastAsia" w:ascii="宋体" w:hAnsi="宋体"/>
                      <w:b w:val="0"/>
                      <w:bCs w:val="0"/>
                      <w:color w:val="auto"/>
                      <w:sz w:val="18"/>
                      <w:szCs w:val="18"/>
                    </w:rPr>
                    <w:t>种</w:t>
                  </w:r>
                </w:p>
              </w:tc>
              <w:tc>
                <w:tcPr>
                  <w:tcW w:w="1240" w:type="dxa"/>
                  <w:tcBorders>
                    <w:top w:val="single" w:color="000000" w:sz="4" w:space="0"/>
                    <w:left w:val="nil"/>
                    <w:bottom w:val="single" w:color="000000" w:sz="4" w:space="0"/>
                    <w:right w:val="single" w:color="000000" w:sz="4" w:space="0"/>
                  </w:tcBorders>
                  <w:vAlign w:val="center"/>
                </w:tcPr>
                <w:p>
                  <w:pPr>
                    <w:widowControl w:val="0"/>
                    <w:jc w:val="both"/>
                    <w:rPr>
                      <w:rStyle w:val="55"/>
                      <w:color w:val="auto"/>
                      <w:kern w:val="2"/>
                      <w:sz w:val="18"/>
                      <w:szCs w:val="18"/>
                    </w:rPr>
                  </w:pPr>
                  <w:r>
                    <w:rPr>
                      <w:rStyle w:val="55"/>
                      <w:rFonts w:hint="eastAsia" w:ascii="宋体" w:hAnsi="宋体"/>
                      <w:color w:val="auto"/>
                      <w:sz w:val="18"/>
                      <w:szCs w:val="18"/>
                    </w:rPr>
                    <w:t>资源名称</w:t>
                  </w:r>
                </w:p>
              </w:tc>
              <w:tc>
                <w:tcPr>
                  <w:tcW w:w="4700" w:type="dxa"/>
                  <w:tcBorders>
                    <w:top w:val="single" w:color="000000" w:sz="4" w:space="0"/>
                    <w:left w:val="nil"/>
                    <w:bottom w:val="single" w:color="000000" w:sz="4" w:space="0"/>
                    <w:right w:val="single" w:color="000000" w:sz="4" w:space="0"/>
                  </w:tcBorders>
                  <w:vAlign w:val="center"/>
                </w:tcPr>
                <w:p>
                  <w:pPr>
                    <w:widowControl w:val="0"/>
                    <w:jc w:val="both"/>
                    <w:rPr>
                      <w:rStyle w:val="55"/>
                      <w:b w:val="0"/>
                      <w:bCs w:val="0"/>
                      <w:color w:val="auto"/>
                      <w:kern w:val="2"/>
                      <w:sz w:val="18"/>
                      <w:szCs w:val="18"/>
                    </w:rPr>
                  </w:pPr>
                </w:p>
              </w:tc>
            </w:tr>
          </w:tbl>
          <w:p>
            <w:pPr>
              <w:pStyle w:val="14"/>
              <w:wordWrap w:val="0"/>
              <w:rPr>
                <w:rStyle w:val="55"/>
                <w:rFonts w:ascii="宋体" w:hAnsi="宋体"/>
                <w:color w:val="auto"/>
                <w:sz w:val="18"/>
                <w:szCs w:val="18"/>
              </w:rPr>
            </w:pPr>
            <w:r>
              <w:rPr>
                <w:rStyle w:val="55"/>
                <w:rFonts w:hint="eastAsia" w:ascii="宋体" w:hAnsi="宋体"/>
                <w:color w:val="auto"/>
                <w:sz w:val="18"/>
                <w:szCs w:val="18"/>
              </w:rPr>
              <w:t>6、人才培养目标（所有有高校参与的项目，必须填写）</w:t>
            </w:r>
          </w:p>
          <w:tbl>
            <w:tblPr>
              <w:tblStyle w:val="16"/>
              <w:tblW w:w="9548" w:type="dxa"/>
              <w:tblInd w:w="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0"/>
              <w:gridCol w:w="7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高端人才</w:t>
                  </w:r>
                </w:p>
              </w:tc>
              <w:tc>
                <w:tcPr>
                  <w:tcW w:w="7748"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院士</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 xml:space="preserve">__ </w:t>
                  </w:r>
                  <w:r>
                    <w:rPr>
                      <w:rStyle w:val="55"/>
                      <w:rFonts w:hint="eastAsia" w:ascii="宋体" w:hAnsi="宋体"/>
                      <w:b w:val="0"/>
                      <w:bCs w:val="0"/>
                      <w:color w:val="auto"/>
                      <w:sz w:val="18"/>
                      <w:szCs w:val="18"/>
                    </w:rPr>
                    <w:t>人，享受国务院政府特殊津贴专家</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人，国家杰出青年科学基金</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人，全国杰出专业技术人才</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人，长江学者</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人，新世纪优秀人才</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人，省有突出贡献的优秀专家</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人，省学术和技术带头人</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人，省学术和技术带头人后备人选</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人，千人计划</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人，万人计划</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180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职称晋升</w:t>
                  </w:r>
                </w:p>
              </w:tc>
              <w:tc>
                <w:tcPr>
                  <w:tcW w:w="7748"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高级</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人，中级</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学位人才</w:t>
                  </w:r>
                </w:p>
              </w:tc>
              <w:tc>
                <w:tcPr>
                  <w:tcW w:w="7748"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博士后进站</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人，在读博士研究生</w:t>
                  </w:r>
                  <w:r>
                    <w:rPr>
                      <w:rStyle w:val="55"/>
                      <w:rFonts w:hint="eastAsia"/>
                      <w:b w:val="0"/>
                      <w:bCs w:val="0"/>
                      <w:color w:val="auto"/>
                      <w:sz w:val="18"/>
                      <w:szCs w:val="18"/>
                    </w:rPr>
                    <w:t>__</w:t>
                  </w:r>
                  <w:r>
                    <w:rPr>
                      <w:rStyle w:val="55"/>
                      <w:b w:val="0"/>
                      <w:bCs w:val="0"/>
                      <w:color w:val="auto"/>
                      <w:sz w:val="18"/>
                      <w:szCs w:val="18"/>
                    </w:rPr>
                    <w:t>2</w:t>
                  </w:r>
                  <w:r>
                    <w:rPr>
                      <w:rStyle w:val="55"/>
                      <w:rFonts w:hint="eastAsia"/>
                      <w:b w:val="0"/>
                      <w:bCs w:val="0"/>
                      <w:color w:val="auto"/>
                      <w:sz w:val="18"/>
                      <w:szCs w:val="18"/>
                    </w:rPr>
                    <w:t>__</w:t>
                  </w:r>
                  <w:r>
                    <w:rPr>
                      <w:rStyle w:val="55"/>
                      <w:rFonts w:hint="eastAsia" w:ascii="宋体" w:hAnsi="宋体"/>
                      <w:b w:val="0"/>
                      <w:bCs w:val="0"/>
                      <w:color w:val="auto"/>
                      <w:sz w:val="18"/>
                      <w:szCs w:val="18"/>
                    </w:rPr>
                    <w:t>人，在读硕士研究生</w:t>
                  </w:r>
                  <w:r>
                    <w:rPr>
                      <w:rStyle w:val="55"/>
                      <w:rFonts w:hint="eastAsia"/>
                      <w:b w:val="0"/>
                      <w:bCs w:val="0"/>
                      <w:color w:val="auto"/>
                      <w:sz w:val="18"/>
                      <w:szCs w:val="18"/>
                    </w:rPr>
                    <w:t>__</w:t>
                  </w:r>
                  <w:r>
                    <w:rPr>
                      <w:rStyle w:val="55"/>
                      <w:b w:val="0"/>
                      <w:bCs w:val="0"/>
                      <w:color w:val="auto"/>
                      <w:sz w:val="18"/>
                      <w:szCs w:val="18"/>
                    </w:rPr>
                    <w:t>3</w:t>
                  </w:r>
                  <w:r>
                    <w:rPr>
                      <w:rStyle w:val="55"/>
                      <w:rFonts w:hint="eastAsia"/>
                      <w:b w:val="0"/>
                      <w:bCs w:val="0"/>
                      <w:color w:val="auto"/>
                      <w:sz w:val="18"/>
                      <w:szCs w:val="18"/>
                    </w:rPr>
                    <w:t>__</w:t>
                  </w:r>
                  <w:r>
                    <w:rPr>
                      <w:rStyle w:val="55"/>
                      <w:rFonts w:hint="eastAsia" w:ascii="宋体" w:hAnsi="宋体"/>
                      <w:b w:val="0"/>
                      <w:bCs w:val="0"/>
                      <w:color w:val="auto"/>
                      <w:sz w:val="18"/>
                      <w:szCs w:val="18"/>
                    </w:rPr>
                    <w:t>人，博士后出站</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人，毕业博士研究生</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人，毕业硕士研究生</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人，毕业学士</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吸纳大学生就业</w:t>
                  </w:r>
                </w:p>
              </w:tc>
              <w:tc>
                <w:tcPr>
                  <w:tcW w:w="7748"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博士后</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人，博士研究生</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人，硕士研究生</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人，本科生</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人，专科生</w:t>
                  </w:r>
                  <w:r>
                    <w:rPr>
                      <w:rStyle w:val="55"/>
                      <w:rFonts w:hint="eastAsia"/>
                      <w:b w:val="0"/>
                      <w:bCs w:val="0"/>
                      <w:color w:val="auto"/>
                      <w:sz w:val="18"/>
                      <w:szCs w:val="18"/>
                    </w:rPr>
                    <w:t>__</w:t>
                  </w:r>
                  <w:r>
                    <w:rPr>
                      <w:rStyle w:val="55"/>
                      <w:b w:val="0"/>
                      <w:bCs w:val="0"/>
                      <w:color w:val="auto"/>
                      <w:sz w:val="18"/>
                      <w:szCs w:val="18"/>
                    </w:rPr>
                    <w:t>0</w:t>
                  </w:r>
                  <w:r>
                    <w:rPr>
                      <w:rStyle w:val="55"/>
                      <w:rFonts w:hint="eastAsia"/>
                      <w:b w:val="0"/>
                      <w:bCs w:val="0"/>
                      <w:color w:val="auto"/>
                      <w:sz w:val="18"/>
                      <w:szCs w:val="18"/>
                    </w:rPr>
                    <w:t>__</w:t>
                  </w:r>
                  <w:r>
                    <w:rPr>
                      <w:rStyle w:val="55"/>
                      <w:rFonts w:hint="eastAsia" w:ascii="宋体" w:hAnsi="宋体"/>
                      <w:b w:val="0"/>
                      <w:bCs w:val="0"/>
                      <w:color w:val="auto"/>
                      <w:sz w:val="18"/>
                      <w:szCs w:val="18"/>
                    </w:rPr>
                    <w:t>人</w:t>
                  </w:r>
                </w:p>
              </w:tc>
            </w:tr>
          </w:tbl>
          <w:p>
            <w:pPr>
              <w:pStyle w:val="14"/>
              <w:wordWrap w:val="0"/>
              <w:rPr>
                <w:rStyle w:val="55"/>
                <w:rFonts w:ascii="宋体" w:hAnsi="宋体"/>
                <w:color w:val="auto"/>
                <w:sz w:val="18"/>
                <w:szCs w:val="18"/>
              </w:rPr>
            </w:pPr>
            <w:r>
              <w:rPr>
                <w:rStyle w:val="55"/>
                <w:rFonts w:hint="eastAsia" w:ascii="宋体" w:hAnsi="宋体"/>
                <w:color w:val="auto"/>
                <w:sz w:val="18"/>
                <w:szCs w:val="18"/>
              </w:rPr>
              <w:t>7、社会效益目标（所有重点研发项目，此项与示范应用目标、经济效益目标必须选填1项）</w:t>
            </w:r>
          </w:p>
          <w:tbl>
            <w:tblPr>
              <w:tblStyle w:val="16"/>
              <w:tblW w:w="9540" w:type="dxa"/>
              <w:tblInd w:w="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3"/>
              <w:gridCol w:w="7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53"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Style w:val="55"/>
                      <w:rFonts w:hint="eastAsia" w:ascii="宋体" w:hAnsi="宋体"/>
                      <w:color w:val="auto"/>
                      <w:sz w:val="18"/>
                      <w:szCs w:val="18"/>
                    </w:rPr>
                    <w:t>技术及产品应用形成的公益性贡献和价值</w:t>
                  </w:r>
                </w:p>
              </w:tc>
              <w:tc>
                <w:tcPr>
                  <w:tcW w:w="7987" w:type="dxa"/>
                  <w:tcBorders>
                    <w:top w:val="single" w:color="auto" w:sz="4" w:space="0"/>
                    <w:left w:val="nil"/>
                    <w:bottom w:val="single" w:color="auto" w:sz="4" w:space="0"/>
                    <w:right w:val="single" w:color="auto" w:sz="4" w:space="0"/>
                  </w:tcBorders>
                </w:tcPr>
                <w:p>
                  <w:pPr>
                    <w:pStyle w:val="14"/>
                    <w:spacing w:line="360" w:lineRule="auto"/>
                    <w:rPr>
                      <w:rStyle w:val="55"/>
                      <w:rFonts w:ascii="宋体" w:hAnsi="宋体"/>
                      <w:b w:val="0"/>
                      <w:color w:val="auto"/>
                      <w:sz w:val="18"/>
                      <w:szCs w:val="18"/>
                    </w:rPr>
                  </w:pPr>
                  <w:r>
                    <w:rPr>
                      <w:rStyle w:val="55"/>
                      <w:rFonts w:hint="eastAsia" w:ascii="宋体" w:hAnsi="宋体"/>
                      <w:b w:val="0"/>
                      <w:color w:val="auto"/>
                      <w:sz w:val="18"/>
                      <w:szCs w:val="18"/>
                    </w:rPr>
                    <w:t>研究成果将有利于提高变电站震害损毁智能检测与评估水平，降低人工巡检的工作强度和风险，为变电站紧急投运和维修决策提供技术支持，推动变电站震害损毁检测朝着智能化方向转型，提高抗灾水平。</w:t>
                  </w:r>
                </w:p>
              </w:tc>
            </w:tr>
          </w:tbl>
          <w:p>
            <w:pPr>
              <w:pStyle w:val="14"/>
              <w:wordWrap w:val="0"/>
              <w:rPr>
                <w:rStyle w:val="55"/>
                <w:rFonts w:ascii="宋体" w:hAnsi="宋体"/>
                <w:color w:val="auto"/>
                <w:sz w:val="18"/>
                <w:szCs w:val="18"/>
              </w:rPr>
            </w:pPr>
            <w:r>
              <w:rPr>
                <w:rStyle w:val="55"/>
                <w:rFonts w:hint="eastAsia" w:ascii="宋体" w:hAnsi="宋体"/>
                <w:color w:val="auto"/>
                <w:sz w:val="18"/>
                <w:szCs w:val="18"/>
              </w:rPr>
              <w:t>8、科技报告</w:t>
            </w:r>
          </w:p>
          <w:tbl>
            <w:tblPr>
              <w:tblStyle w:val="16"/>
              <w:tblW w:w="9568" w:type="dxa"/>
              <w:tblInd w:w="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7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62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Fonts w:hint="eastAsia" w:cs="Times New Roman"/>
                      <w:b/>
                      <w:bCs/>
                      <w:sz w:val="18"/>
                      <w:szCs w:val="18"/>
                    </w:rPr>
                    <w:t>进展报告</w:t>
                  </w:r>
                </w:p>
              </w:tc>
              <w:tc>
                <w:tcPr>
                  <w:tcW w:w="7948"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Fonts w:hint="eastAsia" w:cs="Times New Roman"/>
                      <w:sz w:val="18"/>
                      <w:szCs w:val="18"/>
                    </w:rPr>
                    <w:t>年度报告</w:t>
                  </w:r>
                  <w:r>
                    <w:rPr>
                      <w:rStyle w:val="55"/>
                      <w:rFonts w:hint="eastAsia" w:ascii="宋体" w:hAnsi="宋体"/>
                      <w:b w:val="0"/>
                      <w:bCs w:val="0"/>
                      <w:color w:val="auto"/>
                      <w:sz w:val="18"/>
                      <w:szCs w:val="18"/>
                    </w:rPr>
                    <w:t>__</w:t>
                  </w:r>
                  <w:r>
                    <w:rPr>
                      <w:rStyle w:val="55"/>
                      <w:rFonts w:ascii="宋体" w:hAnsi="宋体"/>
                      <w:b w:val="0"/>
                      <w:bCs w:val="0"/>
                      <w:color w:val="auto"/>
                      <w:sz w:val="18"/>
                      <w:szCs w:val="18"/>
                    </w:rPr>
                    <w:t>0</w:t>
                  </w:r>
                  <w:r>
                    <w:rPr>
                      <w:rStyle w:val="55"/>
                      <w:rFonts w:hint="eastAsia" w:ascii="宋体" w:hAnsi="宋体"/>
                      <w:b w:val="0"/>
                      <w:bCs w:val="0"/>
                      <w:color w:val="auto"/>
                      <w:sz w:val="18"/>
                      <w:szCs w:val="18"/>
                    </w:rPr>
                    <w:t>__篇，</w:t>
                  </w:r>
                  <w:r>
                    <w:rPr>
                      <w:rFonts w:hint="eastAsia" w:cs="Times New Roman"/>
                      <w:sz w:val="18"/>
                      <w:szCs w:val="18"/>
                    </w:rPr>
                    <w:t>中期报告</w:t>
                  </w:r>
                  <w:r>
                    <w:rPr>
                      <w:rStyle w:val="55"/>
                      <w:rFonts w:hint="eastAsia" w:ascii="宋体" w:hAnsi="宋体"/>
                      <w:b w:val="0"/>
                      <w:bCs w:val="0"/>
                      <w:color w:val="auto"/>
                      <w:sz w:val="18"/>
                      <w:szCs w:val="18"/>
                    </w:rPr>
                    <w:t>__</w:t>
                  </w:r>
                  <w:r>
                    <w:rPr>
                      <w:rStyle w:val="55"/>
                      <w:rFonts w:ascii="宋体" w:hAnsi="宋体"/>
                      <w:b w:val="0"/>
                      <w:bCs w:val="0"/>
                      <w:color w:val="auto"/>
                      <w:sz w:val="18"/>
                      <w:szCs w:val="18"/>
                    </w:rPr>
                    <w:t>1</w:t>
                  </w:r>
                  <w:r>
                    <w:rPr>
                      <w:rStyle w:val="55"/>
                      <w:rFonts w:hint="eastAsia" w:ascii="宋体" w:hAnsi="宋体"/>
                      <w:b w:val="0"/>
                      <w:bCs w:val="0"/>
                      <w:color w:val="auto"/>
                      <w:sz w:val="18"/>
                      <w:szCs w:val="18"/>
                    </w:rPr>
                    <w:t>__篇（系统自动填写：执行2年及以上，中期1篇，重大专项按年度年度报告）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1620" w:type="dxa"/>
                  <w:tcBorders>
                    <w:top w:val="single" w:color="auto" w:sz="4" w:space="0"/>
                    <w:left w:val="single" w:color="auto" w:sz="4" w:space="0"/>
                    <w:bottom w:val="single" w:color="auto" w:sz="4" w:space="0"/>
                    <w:right w:val="single" w:color="auto" w:sz="4" w:space="0"/>
                  </w:tcBorders>
                  <w:vAlign w:val="center"/>
                </w:tcPr>
                <w:p>
                  <w:pPr>
                    <w:pStyle w:val="14"/>
                    <w:wordWrap w:val="0"/>
                    <w:rPr>
                      <w:rStyle w:val="55"/>
                      <w:rFonts w:ascii="宋体" w:hAnsi="宋体"/>
                      <w:color w:val="auto"/>
                      <w:sz w:val="18"/>
                      <w:szCs w:val="18"/>
                    </w:rPr>
                  </w:pPr>
                  <w:r>
                    <w:rPr>
                      <w:rFonts w:hint="eastAsia" w:cs="Times New Roman"/>
                      <w:b/>
                      <w:bCs/>
                      <w:sz w:val="18"/>
                      <w:szCs w:val="18"/>
                    </w:rPr>
                    <w:t>最终报告</w:t>
                  </w:r>
                </w:p>
              </w:tc>
              <w:tc>
                <w:tcPr>
                  <w:tcW w:w="7948" w:type="dxa"/>
                  <w:tcBorders>
                    <w:top w:val="single" w:color="auto" w:sz="4" w:space="0"/>
                    <w:left w:val="nil"/>
                    <w:bottom w:val="single" w:color="auto" w:sz="4" w:space="0"/>
                    <w:right w:val="single" w:color="auto" w:sz="4" w:space="0"/>
                  </w:tcBorders>
                  <w:vAlign w:val="center"/>
                </w:tcPr>
                <w:p>
                  <w:pPr>
                    <w:pStyle w:val="14"/>
                    <w:wordWrap w:val="0"/>
                    <w:rPr>
                      <w:rStyle w:val="55"/>
                      <w:rFonts w:ascii="宋体" w:hAnsi="宋体"/>
                      <w:b w:val="0"/>
                      <w:bCs w:val="0"/>
                      <w:color w:val="auto"/>
                      <w:sz w:val="18"/>
                      <w:szCs w:val="18"/>
                    </w:rPr>
                  </w:pPr>
                  <w:r>
                    <w:rPr>
                      <w:rStyle w:val="55"/>
                      <w:rFonts w:hint="eastAsia" w:ascii="宋体" w:hAnsi="宋体"/>
                      <w:b w:val="0"/>
                      <w:bCs w:val="0"/>
                      <w:color w:val="auto"/>
                      <w:sz w:val="18"/>
                      <w:szCs w:val="18"/>
                    </w:rPr>
                    <w:t>__1__篇</w:t>
                  </w:r>
                </w:p>
              </w:tc>
            </w:tr>
          </w:tbl>
          <w:p>
            <w:pPr>
              <w:rPr>
                <w:rFonts w:ascii="Times New Roman" w:hAnsi="Times New Roman" w:cs="Times New Roman"/>
                <w:sz w:val="20"/>
                <w:szCs w:val="20"/>
              </w:rPr>
            </w:pPr>
          </w:p>
        </w:tc>
      </w:tr>
    </w:tbl>
    <w:p>
      <w:r>
        <w:rPr>
          <w:rFonts w:ascii="Times New Roman" w:hAnsi="Times New Roman" w:cs="Times New Roman"/>
          <w:kern w:val="2"/>
          <w:sz w:val="21"/>
          <w:szCs w:val="21"/>
        </w:rPr>
        <w:br w:type="page"/>
      </w:r>
    </w:p>
    <w:tbl>
      <w:tblPr>
        <w:tblStyle w:val="16"/>
        <w:tblW w:w="10200" w:type="dxa"/>
        <w:jc w:val="center"/>
        <w:tblLayout w:type="fixed"/>
        <w:tblCellMar>
          <w:top w:w="0" w:type="dxa"/>
          <w:left w:w="0" w:type="dxa"/>
          <w:bottom w:w="0" w:type="dxa"/>
          <w:right w:w="0" w:type="dxa"/>
        </w:tblCellMar>
      </w:tblPr>
      <w:tblGrid>
        <w:gridCol w:w="10200"/>
      </w:tblGrid>
      <w:tr>
        <w:tblPrEx>
          <w:tblCellMar>
            <w:top w:w="0" w:type="dxa"/>
            <w:left w:w="0" w:type="dxa"/>
            <w:bottom w:w="0" w:type="dxa"/>
            <w:right w:w="0" w:type="dxa"/>
          </w:tblCellMar>
        </w:tblPrEx>
        <w:trPr>
          <w:jc w:val="center"/>
        </w:trPr>
        <w:tc>
          <w:tcPr>
            <w:tcW w:w="10200" w:type="dxa"/>
            <w:tcBorders>
              <w:top w:val="single" w:color="000000" w:sz="6" w:space="0"/>
              <w:left w:val="single" w:color="000000" w:sz="6" w:space="0"/>
              <w:bottom w:val="single" w:color="000000" w:sz="6" w:space="0"/>
              <w:right w:val="single" w:color="000000" w:sz="6" w:space="0"/>
            </w:tcBorders>
            <w:vAlign w:val="center"/>
          </w:tcPr>
          <w:p>
            <w:pPr>
              <w:pStyle w:val="27"/>
              <w:wordWrap w:val="0"/>
              <w:rPr>
                <w:rFonts w:cs="Times New Roman"/>
                <w:spacing w:val="15"/>
              </w:rPr>
            </w:pPr>
            <w:r>
              <w:rPr>
                <w:rStyle w:val="59"/>
                <w:rFonts w:hint="eastAsia"/>
              </w:rPr>
              <w:t>四</w:t>
            </w:r>
            <w:r>
              <w:rPr>
                <w:rStyle w:val="59"/>
                <w:rFonts w:hint="eastAsia" w:ascii="宋体" w:hAnsi="宋体"/>
                <w:spacing w:val="15"/>
              </w:rPr>
              <w:t>、项目的创新性</w:t>
            </w:r>
            <w:r>
              <w:rPr>
                <w:rFonts w:hint="eastAsia" w:cs="Times New Roman"/>
                <w:spacing w:val="15"/>
              </w:rPr>
              <w:t>(理论创新、应用创新、技术创新，不超过800字。)</w:t>
            </w:r>
          </w:p>
        </w:tc>
      </w:tr>
      <w:tr>
        <w:tblPrEx>
          <w:tblCellMar>
            <w:top w:w="0" w:type="dxa"/>
            <w:left w:w="0" w:type="dxa"/>
            <w:bottom w:w="0" w:type="dxa"/>
            <w:right w:w="0" w:type="dxa"/>
          </w:tblCellMar>
        </w:tblPrEx>
        <w:trPr>
          <w:trHeight w:val="1777" w:hRule="atLeast"/>
          <w:jc w:val="center"/>
        </w:trPr>
        <w:tc>
          <w:tcPr>
            <w:tcW w:w="10200" w:type="dxa"/>
            <w:tcBorders>
              <w:top w:val="single" w:color="000000" w:sz="6" w:space="0"/>
              <w:left w:val="single" w:color="000000" w:sz="6" w:space="0"/>
              <w:bottom w:val="single" w:color="000000" w:sz="6" w:space="0"/>
              <w:right w:val="single" w:color="000000" w:sz="6" w:space="0"/>
            </w:tcBorders>
          </w:tcPr>
          <w:p>
            <w:pPr>
              <w:widowControl w:val="0"/>
              <w:spacing w:line="400" w:lineRule="exact"/>
              <w:ind w:firstLine="480" w:firstLineChars="200"/>
              <w:jc w:val="both"/>
              <w:rPr>
                <w:kern w:val="2"/>
              </w:rPr>
            </w:pPr>
            <w:bookmarkStart w:id="33" w:name="_Hlk80191580"/>
            <w:bookmarkStart w:id="34" w:name="_Hlk80191493"/>
            <w:r>
              <w:rPr>
                <w:rFonts w:hint="eastAsia"/>
                <w:kern w:val="2"/>
              </w:rPr>
              <w:t>在电力系统中针对目前变电站震害评估的现有主要手段为人工现场调研法，其存在检测效率低、危险系数高等问题，本项目将在面向震后变电站损毁检测评估方面做出研究创新，以弥补行业对防灾减灾和应急处理的技术覆盖点，同时对无人机定位导航、智能检测与分析领域做一些有实际应用意义的研究，具体如下：</w:t>
            </w:r>
          </w:p>
          <w:p>
            <w:pPr>
              <w:pStyle w:val="9"/>
              <w:ind w:firstLine="482"/>
              <w:rPr>
                <w:kern w:val="2"/>
              </w:rPr>
            </w:pPr>
            <w:r>
              <w:rPr>
                <w:rFonts w:hint="eastAsia"/>
                <w:b/>
                <w:kern w:val="2"/>
              </w:rPr>
              <w:t>技术创新</w:t>
            </w:r>
            <w:r>
              <w:rPr>
                <w:rFonts w:hint="eastAsia"/>
                <w:kern w:val="2"/>
              </w:rPr>
              <w:t>：</w:t>
            </w:r>
            <w:r>
              <w:rPr>
                <w:kern w:val="2"/>
              </w:rPr>
              <w:t>1）</w:t>
            </w:r>
            <w:r>
              <w:rPr>
                <w:rFonts w:hint="eastAsia"/>
                <w:kern w:val="2"/>
              </w:rPr>
              <w:t>采用时间驱动的滑动窗位姿图优化算法实现多传感器融合定位，通过构建滑动窗的位姿图，并使用图优化算法进行优化，实现无人机分米级定位。</w:t>
            </w:r>
            <w:r>
              <w:rPr>
                <w:kern w:val="2"/>
              </w:rPr>
              <w:t>2）提出了</w:t>
            </w:r>
            <w:r>
              <w:rPr>
                <w:rFonts w:hint="eastAsia"/>
                <w:kern w:val="2"/>
              </w:rPr>
              <w:t>一种</w:t>
            </w:r>
            <w:r>
              <w:rPr>
                <w:kern w:val="2"/>
              </w:rPr>
              <w:t>面向震后变电站场景的无人机图像复原与增强技术，在震后变电站环境状况不确定的情况下，通过神经网络结构搜索技术</w:t>
            </w:r>
            <w:r>
              <w:rPr>
                <w:rFonts w:hint="eastAsia"/>
                <w:kern w:val="2"/>
              </w:rPr>
              <w:t>自动搜索生成对抗网络具体结构</w:t>
            </w:r>
            <w:r>
              <w:rPr>
                <w:kern w:val="2"/>
              </w:rPr>
              <w:t>，实现对无人机拍摄图像进行底层视觉任务分类，并进行复原与增强。3）</w:t>
            </w:r>
            <w:r>
              <w:rPr>
                <w:rFonts w:hint="eastAsia"/>
                <w:kern w:val="2"/>
              </w:rPr>
              <w:t>针对震后变电站损毁设备图像样本量缺乏，且与已有数据集存在领域偏移问题，提出了一种基于梯度对齐的领域自适应算法，并设计了一种基于深度去噪自编码器重构图像算法，可有效解决无人机拍摄的电气设备损毁样本不足的小样本问题。</w:t>
            </w:r>
          </w:p>
          <w:p>
            <w:pPr>
              <w:pStyle w:val="9"/>
              <w:ind w:firstLine="482"/>
              <w:rPr>
                <w:color w:val="000000" w:themeColor="text1"/>
                <w14:textFill>
                  <w14:solidFill>
                    <w14:schemeClr w14:val="tx1"/>
                  </w14:solidFill>
                </w14:textFill>
              </w:rPr>
            </w:pPr>
            <w:r>
              <w:rPr>
                <w:rFonts w:hint="eastAsia"/>
                <w:b/>
                <w:kern w:val="2"/>
              </w:rPr>
              <w:t>应用创新</w:t>
            </w:r>
            <w:r>
              <w:rPr>
                <w:rFonts w:hint="eastAsia"/>
                <w:kern w:val="2"/>
              </w:rPr>
              <w:t>：</w:t>
            </w:r>
            <w:r>
              <w:rPr>
                <w:rFonts w:hint="eastAsia" w:ascii="Times New Roman" w:hAnsi="Times New Roman"/>
                <w:kern w:val="2"/>
              </w:rPr>
              <w:t>变电站震后损毁检测在目前还没有专业的快速检测评估系统，基于本项目的研究可大幅</w:t>
            </w:r>
            <w:r>
              <w:rPr>
                <w:rFonts w:hint="eastAsia"/>
                <w:kern w:val="2"/>
              </w:rPr>
              <w:t>提高变电站震害损毁的评估效率，减少损失成本，为变电站紧急通电决策提供依据，提高电力行业灾害应急处理能力，具有重要的应用创新价值。</w:t>
            </w:r>
            <w:bookmarkEnd w:id="33"/>
          </w:p>
          <w:bookmarkEnd w:id="34"/>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0" w:firstLineChars="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pStyle w:val="9"/>
              <w:ind w:firstLine="480"/>
              <w:rPr>
                <w:color w:val="000000" w:themeColor="text1"/>
                <w14:textFill>
                  <w14:solidFill>
                    <w14:schemeClr w14:val="tx1"/>
                  </w14:solidFill>
                </w14:textFill>
              </w:rPr>
            </w:pPr>
          </w:p>
          <w:p>
            <w:pPr>
              <w:rPr>
                <w:rFonts w:ascii="Times New Roman" w:hAnsi="Times New Roman" w:cs="Times New Roman"/>
                <w:sz w:val="20"/>
                <w:szCs w:val="20"/>
              </w:rPr>
            </w:pPr>
          </w:p>
        </w:tc>
      </w:tr>
      <w:tr>
        <w:tblPrEx>
          <w:tblCellMar>
            <w:top w:w="0" w:type="dxa"/>
            <w:left w:w="0" w:type="dxa"/>
            <w:bottom w:w="0" w:type="dxa"/>
            <w:right w:w="0" w:type="dxa"/>
          </w:tblCellMar>
        </w:tblPrEx>
        <w:trPr>
          <w:jc w:val="center"/>
        </w:trPr>
        <w:tc>
          <w:tcPr>
            <w:tcW w:w="10200" w:type="dxa"/>
            <w:tcBorders>
              <w:top w:val="single" w:color="000000" w:sz="6" w:space="0"/>
              <w:left w:val="single" w:color="000000" w:sz="6" w:space="0"/>
              <w:bottom w:val="single" w:color="000000" w:sz="6" w:space="0"/>
              <w:right w:val="single" w:color="000000" w:sz="6" w:space="0"/>
            </w:tcBorders>
            <w:vAlign w:val="center"/>
          </w:tcPr>
          <w:p>
            <w:pPr>
              <w:pStyle w:val="27"/>
              <w:wordWrap w:val="0"/>
              <w:rPr>
                <w:rFonts w:cs="Times New Roman"/>
                <w:spacing w:val="15"/>
              </w:rPr>
            </w:pPr>
            <w:r>
              <w:rPr>
                <w:rStyle w:val="59"/>
                <w:rFonts w:hint="eastAsia"/>
                <w:spacing w:val="15"/>
              </w:rPr>
              <w:t>五</w:t>
            </w:r>
            <w:r>
              <w:rPr>
                <w:rStyle w:val="59"/>
                <w:rFonts w:hint="eastAsia" w:ascii="宋体" w:hAnsi="宋体"/>
                <w:spacing w:val="15"/>
              </w:rPr>
              <w:t>、项目应用前景和项目产品预期经济、社会效益</w:t>
            </w:r>
            <w:r>
              <w:rPr>
                <w:rFonts w:hint="eastAsia" w:cs="Times New Roman"/>
                <w:spacing w:val="15"/>
              </w:rPr>
              <w:t>(不超过500字。)</w:t>
            </w:r>
          </w:p>
        </w:tc>
      </w:tr>
      <w:tr>
        <w:tblPrEx>
          <w:tblCellMar>
            <w:top w:w="0" w:type="dxa"/>
            <w:left w:w="0" w:type="dxa"/>
            <w:bottom w:w="0" w:type="dxa"/>
            <w:right w:w="0" w:type="dxa"/>
          </w:tblCellMar>
        </w:tblPrEx>
        <w:trPr>
          <w:trHeight w:val="1261" w:hRule="atLeast"/>
          <w:jc w:val="center"/>
        </w:trPr>
        <w:tc>
          <w:tcPr>
            <w:tcW w:w="10200" w:type="dxa"/>
            <w:tcBorders>
              <w:top w:val="single" w:color="000000" w:sz="6" w:space="0"/>
              <w:left w:val="single" w:color="000000" w:sz="6" w:space="0"/>
              <w:bottom w:val="single" w:color="000000" w:sz="6" w:space="0"/>
              <w:right w:val="single" w:color="000000" w:sz="6" w:space="0"/>
            </w:tcBorders>
          </w:tcPr>
          <w:p>
            <w:pPr>
              <w:widowControl w:val="0"/>
              <w:spacing w:line="400" w:lineRule="exact"/>
              <w:ind w:firstLine="480" w:firstLineChars="200"/>
              <w:jc w:val="both"/>
              <w:rPr>
                <w:kern w:val="2"/>
              </w:rPr>
            </w:pPr>
            <w:bookmarkStart w:id="35" w:name="_Hlk80191602"/>
            <w:r>
              <w:rPr>
                <w:rFonts w:hint="eastAsia"/>
                <w:kern w:val="2"/>
              </w:rPr>
              <w:t>防灾减灾与应急处理是国家高度重视的领域，</w:t>
            </w:r>
            <w:r>
              <w:rPr>
                <w:kern w:val="2"/>
              </w:rPr>
              <w:t>我国是多地震国家之</w:t>
            </w:r>
            <w:r>
              <w:rPr>
                <w:rFonts w:hint="eastAsia"/>
                <w:kern w:val="2"/>
              </w:rPr>
              <w:t>一</w:t>
            </w:r>
            <w:r>
              <w:rPr>
                <w:kern w:val="2"/>
              </w:rPr>
              <w:t>，地震严重影响了电网的安全稳定运行</w:t>
            </w:r>
            <w:r>
              <w:rPr>
                <w:rFonts w:hint="eastAsia"/>
                <w:kern w:val="2"/>
              </w:rPr>
              <w:t>。</w:t>
            </w:r>
            <w:r>
              <w:rPr>
                <w:kern w:val="2"/>
              </w:rPr>
              <w:t>变电站作为电力系统的重要节点，实现其电力设备的快速损毁检测</w:t>
            </w:r>
            <w:r>
              <w:rPr>
                <w:rFonts w:hint="eastAsia"/>
                <w:kern w:val="2"/>
              </w:rPr>
              <w:t>可</w:t>
            </w:r>
            <w:r>
              <w:rPr>
                <w:kern w:val="2"/>
              </w:rPr>
              <w:t>加快供电</w:t>
            </w:r>
            <w:r>
              <w:rPr>
                <w:rFonts w:hint="eastAsia"/>
                <w:kern w:val="2"/>
              </w:rPr>
              <w:t>速度，保障抗震救灾的用电需求</w:t>
            </w:r>
            <w:r>
              <w:rPr>
                <w:kern w:val="2"/>
              </w:rPr>
              <w:t>，减小地震造成的国民经济损失。本项目研究在一定程度上</w:t>
            </w:r>
            <w:r>
              <w:rPr>
                <w:rFonts w:hint="eastAsia"/>
                <w:kern w:val="2"/>
              </w:rPr>
              <w:t>将解决</w:t>
            </w:r>
            <w:r>
              <w:rPr>
                <w:kern w:val="2"/>
              </w:rPr>
              <w:t>人工损毁检测“慢、难、险”的弊端，在真正意义上实现</w:t>
            </w:r>
            <w:r>
              <w:rPr>
                <w:rFonts w:hint="eastAsia"/>
                <w:kern w:val="2"/>
              </w:rPr>
              <w:t>震后</w:t>
            </w:r>
            <w:r>
              <w:rPr>
                <w:kern w:val="2"/>
              </w:rPr>
              <w:t>设备智能化检测。项目所研究的局部复杂环境无人机自主导航和避障技术、图像</w:t>
            </w:r>
            <w:r>
              <w:rPr>
                <w:rFonts w:hint="eastAsia"/>
                <w:kern w:val="2"/>
              </w:rPr>
              <w:t>复原</w:t>
            </w:r>
            <w:r>
              <w:rPr>
                <w:kern w:val="2"/>
              </w:rPr>
              <w:t>技术、设备损毁智能检测技术将为</w:t>
            </w:r>
            <w:r>
              <w:rPr>
                <w:rFonts w:hint="eastAsia"/>
                <w:kern w:val="2"/>
              </w:rPr>
              <w:t>震后应急处理、快速复原</w:t>
            </w:r>
            <w:r>
              <w:rPr>
                <w:kern w:val="2"/>
              </w:rPr>
              <w:t>提供</w:t>
            </w:r>
            <w:r>
              <w:rPr>
                <w:rFonts w:hint="eastAsia"/>
                <w:kern w:val="2"/>
              </w:rPr>
              <w:t>技术支撑</w:t>
            </w:r>
            <w:r>
              <w:rPr>
                <w:kern w:val="2"/>
              </w:rPr>
              <w:t>，</w:t>
            </w:r>
            <w:r>
              <w:rPr>
                <w:rFonts w:hint="eastAsia"/>
                <w:kern w:val="2"/>
              </w:rPr>
              <w:t>有利于推动电网智能巡检技术的发展</w:t>
            </w:r>
            <w:r>
              <w:rPr>
                <w:kern w:val="2"/>
              </w:rPr>
              <w:t>。</w:t>
            </w:r>
          </w:p>
          <w:p>
            <w:pPr>
              <w:widowControl w:val="0"/>
              <w:spacing w:line="400" w:lineRule="exact"/>
              <w:ind w:firstLine="480" w:firstLineChars="200"/>
              <w:jc w:val="both"/>
              <w:rPr>
                <w:kern w:val="2"/>
              </w:rPr>
            </w:pPr>
            <w:r>
              <w:rPr>
                <w:rFonts w:hint="eastAsia"/>
                <w:kern w:val="2"/>
              </w:rPr>
              <w:t>在经济效益方面，</w:t>
            </w:r>
            <w:r>
              <w:rPr>
                <w:kern w:val="2"/>
              </w:rPr>
              <w:t>在大停电中，每提前一小时恢复供电，将减少上亿元的经济损失。</w:t>
            </w:r>
            <w:r>
              <w:rPr>
                <w:rFonts w:hint="eastAsia"/>
                <w:kern w:val="2"/>
              </w:rPr>
              <w:t>本项目成果的有效应用将加快</w:t>
            </w:r>
            <w:r>
              <w:rPr>
                <w:kern w:val="2"/>
              </w:rPr>
              <w:t>震后</w:t>
            </w:r>
            <w:r>
              <w:rPr>
                <w:rFonts w:hint="eastAsia"/>
                <w:kern w:val="2"/>
              </w:rPr>
              <w:t>电力系统的恢复速度，为国民经济的正常运行提供电力保障</w:t>
            </w:r>
            <w:r>
              <w:rPr>
                <w:kern w:val="2"/>
              </w:rPr>
              <w:t>，</w:t>
            </w:r>
            <w:r>
              <w:rPr>
                <w:rFonts w:hint="eastAsia"/>
                <w:kern w:val="2"/>
              </w:rPr>
              <w:t>减少企业及群众因停电造成的经济损失</w:t>
            </w:r>
            <w:r>
              <w:rPr>
                <w:kern w:val="2"/>
              </w:rPr>
              <w:t>。</w:t>
            </w:r>
          </w:p>
          <w:p>
            <w:pPr>
              <w:widowControl w:val="0"/>
              <w:spacing w:line="400" w:lineRule="exact"/>
              <w:ind w:firstLine="480" w:firstLineChars="200"/>
              <w:jc w:val="both"/>
              <w:rPr>
                <w:kern w:val="2"/>
              </w:rPr>
            </w:pPr>
            <w:r>
              <w:rPr>
                <w:rFonts w:hint="eastAsia"/>
                <w:kern w:val="2"/>
              </w:rPr>
              <w:t>在社会效益方面，</w:t>
            </w:r>
            <w:r>
              <w:rPr>
                <w:kern w:val="2"/>
              </w:rPr>
              <w:t>尽早</w:t>
            </w:r>
            <w:r>
              <w:rPr>
                <w:rFonts w:hint="eastAsia"/>
                <w:kern w:val="2"/>
              </w:rPr>
              <w:t>恢复电力供应是确保抗震救灾</w:t>
            </w:r>
            <w:r>
              <w:rPr>
                <w:kern w:val="2"/>
              </w:rPr>
              <w:t>有效实施的</w:t>
            </w:r>
            <w:r>
              <w:rPr>
                <w:rFonts w:hint="eastAsia"/>
                <w:kern w:val="2"/>
              </w:rPr>
              <w:t>重要条件，</w:t>
            </w:r>
            <w:r>
              <w:rPr>
                <w:kern w:val="2"/>
              </w:rPr>
              <w:t>为救援行动提供支持，减少人员伤亡和生命威胁。</w:t>
            </w:r>
            <w:r>
              <w:rPr>
                <w:rFonts w:hint="eastAsia"/>
                <w:kern w:val="2"/>
              </w:rPr>
              <w:t>同时，</w:t>
            </w:r>
            <w:r>
              <w:rPr>
                <w:kern w:val="2"/>
              </w:rPr>
              <w:t>尽早供电也</w:t>
            </w:r>
            <w:r>
              <w:rPr>
                <w:rFonts w:hint="eastAsia"/>
                <w:kern w:val="2"/>
              </w:rPr>
              <w:t>有助于</w:t>
            </w:r>
            <w:r>
              <w:rPr>
                <w:kern w:val="2"/>
              </w:rPr>
              <w:t>恢复灾区通讯设施，维护社会稳定</w:t>
            </w:r>
            <w:r>
              <w:rPr>
                <w:rFonts w:hint="eastAsia"/>
                <w:kern w:val="2"/>
              </w:rPr>
              <w:t>局面</w:t>
            </w:r>
            <w:r>
              <w:rPr>
                <w:kern w:val="2"/>
              </w:rPr>
              <w:t>。</w:t>
            </w:r>
          </w:p>
          <w:bookmarkEnd w:id="35"/>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p>
            <w:pPr>
              <w:pStyle w:val="9"/>
              <w:ind w:firstLine="400"/>
              <w:rPr>
                <w:rFonts w:ascii="Times New Roman" w:hAnsi="Times New Roman"/>
                <w:sz w:val="20"/>
                <w:szCs w:val="20"/>
              </w:rPr>
            </w:pPr>
          </w:p>
        </w:tc>
      </w:tr>
      <w:tr>
        <w:tblPrEx>
          <w:tblCellMar>
            <w:top w:w="0" w:type="dxa"/>
            <w:left w:w="0" w:type="dxa"/>
            <w:bottom w:w="0" w:type="dxa"/>
            <w:right w:w="0" w:type="dxa"/>
          </w:tblCellMar>
        </w:tblPrEx>
        <w:trPr>
          <w:jc w:val="center"/>
        </w:trPr>
        <w:tc>
          <w:tcPr>
            <w:tcW w:w="10200" w:type="dxa"/>
            <w:tcBorders>
              <w:top w:val="single" w:color="000000" w:sz="6" w:space="0"/>
              <w:left w:val="single" w:color="000000" w:sz="6" w:space="0"/>
              <w:bottom w:val="single" w:color="000000" w:sz="6" w:space="0"/>
              <w:right w:val="single" w:color="000000" w:sz="6" w:space="0"/>
            </w:tcBorders>
            <w:vAlign w:val="center"/>
          </w:tcPr>
          <w:p>
            <w:pPr>
              <w:pStyle w:val="27"/>
              <w:wordWrap w:val="0"/>
              <w:rPr>
                <w:rFonts w:cs="Times New Roman"/>
                <w:spacing w:val="15"/>
              </w:rPr>
            </w:pPr>
            <w:r>
              <w:rPr>
                <w:rFonts w:hint="eastAsia"/>
              </w:rPr>
              <w:t>六</w:t>
            </w:r>
            <w:r>
              <w:rPr>
                <w:rStyle w:val="59"/>
                <w:rFonts w:hint="eastAsia" w:ascii="宋体" w:hAnsi="宋体"/>
                <w:spacing w:val="15"/>
              </w:rPr>
              <w:t>、已有研究基础、承担优势和项目实施的风险及应对策略</w:t>
            </w:r>
            <w:r>
              <w:rPr>
                <w:rFonts w:hint="eastAsia" w:cs="Times New Roman"/>
                <w:spacing w:val="15"/>
              </w:rPr>
              <w:t>(</w:t>
            </w:r>
            <w:r>
              <w:rPr>
                <w:rStyle w:val="59"/>
                <w:rFonts w:hint="eastAsia" w:ascii="宋体" w:hAnsi="宋体"/>
                <w:b w:val="0"/>
                <w:bCs w:val="0"/>
                <w:spacing w:val="15"/>
              </w:rPr>
              <w:t>研究基础、承担优势</w:t>
            </w:r>
            <w:r>
              <w:rPr>
                <w:rFonts w:hint="eastAsia" w:cs="Times New Roman"/>
                <w:spacing w:val="15"/>
              </w:rPr>
              <w:t>包括与项目有关的前期研究状况、实验设备及设备条件、前期获得的与本项目相关的科研成果、获奖及发表论文情况，产学研结合情况等。不超过1000字。)</w:t>
            </w:r>
          </w:p>
        </w:tc>
      </w:tr>
      <w:tr>
        <w:tblPrEx>
          <w:tblCellMar>
            <w:top w:w="0" w:type="dxa"/>
            <w:left w:w="0" w:type="dxa"/>
            <w:bottom w:w="0" w:type="dxa"/>
            <w:right w:w="0" w:type="dxa"/>
          </w:tblCellMar>
        </w:tblPrEx>
        <w:trPr>
          <w:trHeight w:val="1332" w:hRule="atLeast"/>
          <w:jc w:val="center"/>
        </w:trPr>
        <w:tc>
          <w:tcPr>
            <w:tcW w:w="10200" w:type="dxa"/>
            <w:tcBorders>
              <w:top w:val="single" w:color="000000" w:sz="6" w:space="0"/>
              <w:left w:val="single" w:color="000000" w:sz="6" w:space="0"/>
              <w:bottom w:val="single" w:color="000000" w:sz="6" w:space="0"/>
              <w:right w:val="single" w:color="000000" w:sz="6" w:space="0"/>
            </w:tcBorders>
          </w:tcPr>
          <w:p>
            <w:pPr>
              <w:widowControl w:val="0"/>
              <w:spacing w:before="120" w:after="240" w:line="400" w:lineRule="exact"/>
              <w:jc w:val="both"/>
              <w:rPr>
                <w:rFonts w:ascii="Times New Roman" w:hAnsi="Times New Roman" w:cs="Times New Roman"/>
                <w:kern w:val="2"/>
              </w:rPr>
            </w:pPr>
            <w:bookmarkStart w:id="36" w:name="_Hlk80191637"/>
            <w:r>
              <w:rPr>
                <w:rFonts w:ascii="TimesNewRomanPS-BoldMT" w:hAnsi="TimesNewRomanPS-BoldMT"/>
                <w:b/>
                <w:bCs/>
                <w:color w:val="000000"/>
                <w:kern w:val="2"/>
              </w:rPr>
              <w:t xml:space="preserve">6.1 </w:t>
            </w:r>
            <w:r>
              <w:rPr>
                <w:rFonts w:hint="eastAsia"/>
                <w:b/>
                <w:bCs/>
                <w:color w:val="000000"/>
                <w:kern w:val="2"/>
              </w:rPr>
              <w:t>已有研究基础和承担优势</w:t>
            </w:r>
          </w:p>
          <w:p>
            <w:pPr>
              <w:widowControl w:val="0"/>
              <w:spacing w:line="400" w:lineRule="exact"/>
              <w:ind w:firstLine="480" w:firstLineChars="200"/>
              <w:jc w:val="both"/>
              <w:rPr>
                <w:rFonts w:ascii="Times New Roman" w:hAnsi="Times New Roman" w:cs="Times New Roman"/>
                <w:kern w:val="2"/>
                <w:szCs w:val="22"/>
              </w:rPr>
            </w:pPr>
            <w:r>
              <w:rPr>
                <w:rFonts w:hint="eastAsia" w:ascii="Times New Roman" w:hAnsi="Times New Roman" w:cs="Times New Roman"/>
                <w:kern w:val="2"/>
                <w:szCs w:val="22"/>
              </w:rPr>
              <w:t>智能学习科学与应用研究所是电子科技大学</w:t>
            </w:r>
            <w:r>
              <w:rPr>
                <w:rFonts w:ascii="Times New Roman" w:hAnsi="Times New Roman" w:cs="Times New Roman"/>
                <w:kern w:val="2"/>
                <w:szCs w:val="22"/>
              </w:rPr>
              <w:t>2017年成立的交叉学科创新平台。研究所整合了电子科技大学计算机科学</w:t>
            </w:r>
            <w:r>
              <w:rPr>
                <w:rFonts w:hint="eastAsia" w:ascii="Times New Roman" w:hAnsi="Times New Roman" w:cs="Times New Roman"/>
                <w:kern w:val="2"/>
                <w:szCs w:val="22"/>
              </w:rPr>
              <w:t>与工程</w:t>
            </w:r>
            <w:r>
              <w:rPr>
                <w:rFonts w:ascii="Times New Roman" w:hAnsi="Times New Roman" w:cs="Times New Roman"/>
                <w:kern w:val="2"/>
                <w:szCs w:val="22"/>
              </w:rPr>
              <w:t>、软件工程、电气工程、机械工程、新能源材料的相关研究力量，以突破人工智能和智能学习中的关键基础理论为核心，结合国家制造业</w:t>
            </w:r>
            <w:r>
              <w:rPr>
                <w:rFonts w:hint="eastAsia" w:ascii="Times New Roman" w:hAnsi="Times New Roman" w:cs="Times New Roman"/>
                <w:kern w:val="2"/>
                <w:szCs w:val="22"/>
              </w:rPr>
              <w:t>、</w:t>
            </w:r>
            <w:r>
              <w:rPr>
                <w:rFonts w:ascii="Times New Roman" w:hAnsi="Times New Roman" w:cs="Times New Roman"/>
                <w:kern w:val="2"/>
                <w:szCs w:val="22"/>
              </w:rPr>
              <w:t>新能源对人工智能技术的重大需求为导向，实现人工智能和智能学习新技术与新方法在跨学科领域中的应用研究，助力交叉学科的新知识的发现。</w:t>
            </w:r>
            <w:r>
              <w:rPr>
                <w:rFonts w:hint="eastAsia" w:ascii="Times New Roman" w:hAnsi="Times New Roman" w:cs="Times New Roman"/>
                <w:kern w:val="2"/>
                <w:szCs w:val="22"/>
              </w:rPr>
              <w:t>研究所</w:t>
            </w:r>
            <w:r>
              <w:rPr>
                <w:rFonts w:ascii="Times New Roman" w:hAnsi="Times New Roman" w:cs="Times New Roman"/>
                <w:kern w:val="2"/>
                <w:szCs w:val="22"/>
              </w:rPr>
              <w:t>现有教授7人、副教授3人、博士后10人、博士生24人、硕士生90余人。</w:t>
            </w:r>
            <w:r>
              <w:rPr>
                <w:rFonts w:hint="eastAsia" w:ascii="Times New Roman" w:hAnsi="Times New Roman" w:cs="Times New Roman"/>
                <w:kern w:val="2"/>
                <w:szCs w:val="22"/>
              </w:rPr>
              <w:t>教育部</w:t>
            </w:r>
            <w:r>
              <w:rPr>
                <w:rFonts w:ascii="Times New Roman" w:hAnsi="Times New Roman" w:cs="Times New Roman"/>
                <w:kern w:val="2"/>
                <w:szCs w:val="22"/>
              </w:rPr>
              <w:t>长江学者1人，国家优秀青年基金1人，国家青年千人计划1人，Elsevier中国高</w:t>
            </w:r>
            <w:r>
              <w:rPr>
                <w:rFonts w:hint="eastAsia" w:ascii="Times New Roman" w:hAnsi="Times New Roman" w:cs="Times New Roman"/>
                <w:kern w:val="2"/>
                <w:szCs w:val="22"/>
              </w:rPr>
              <w:t>被引学者</w:t>
            </w:r>
            <w:r>
              <w:rPr>
                <w:rFonts w:ascii="Times New Roman" w:hAnsi="Times New Roman" w:cs="Times New Roman"/>
                <w:kern w:val="2"/>
                <w:szCs w:val="22"/>
              </w:rPr>
              <w:t>1人，教育部</w:t>
            </w:r>
            <w:r>
              <w:rPr>
                <w:rFonts w:hint="eastAsia" w:ascii="Times New Roman" w:hAnsi="Times New Roman" w:cs="Times New Roman"/>
                <w:kern w:val="2"/>
                <w:szCs w:val="22"/>
              </w:rPr>
              <w:t>“</w:t>
            </w:r>
            <w:r>
              <w:rPr>
                <w:rFonts w:ascii="Times New Roman" w:hAnsi="Times New Roman" w:cs="Times New Roman"/>
                <w:kern w:val="2"/>
                <w:szCs w:val="22"/>
              </w:rPr>
              <w:t>新世纪优秀人才</w:t>
            </w:r>
            <w:r>
              <w:rPr>
                <w:rFonts w:hint="eastAsia" w:ascii="Times New Roman" w:hAnsi="Times New Roman" w:cs="Times New Roman"/>
                <w:kern w:val="2"/>
                <w:szCs w:val="22"/>
              </w:rPr>
              <w:t>”</w:t>
            </w:r>
            <w:r>
              <w:rPr>
                <w:rFonts w:ascii="Times New Roman" w:hAnsi="Times New Roman" w:cs="Times New Roman"/>
                <w:kern w:val="2"/>
                <w:szCs w:val="22"/>
              </w:rPr>
              <w:t>2人，中国运筹学会青年科技奖1人，四川省青年科技奖1人，四川省</w:t>
            </w:r>
            <w:r>
              <w:rPr>
                <w:rFonts w:hint="eastAsia" w:ascii="Times New Roman" w:hAnsi="Times New Roman" w:cs="Times New Roman"/>
                <w:kern w:val="2"/>
                <w:szCs w:val="22"/>
              </w:rPr>
              <w:t>“</w:t>
            </w:r>
            <w:r>
              <w:rPr>
                <w:rFonts w:ascii="Times New Roman" w:hAnsi="Times New Roman" w:cs="Times New Roman"/>
                <w:kern w:val="2"/>
                <w:szCs w:val="22"/>
              </w:rPr>
              <w:t>千人计划</w:t>
            </w:r>
            <w:r>
              <w:rPr>
                <w:rFonts w:hint="eastAsia" w:ascii="Times New Roman" w:hAnsi="Times New Roman" w:cs="Times New Roman"/>
                <w:kern w:val="2"/>
                <w:szCs w:val="22"/>
              </w:rPr>
              <w:t>”</w:t>
            </w:r>
            <w:r>
              <w:rPr>
                <w:rFonts w:ascii="Times New Roman" w:hAnsi="Times New Roman" w:cs="Times New Roman"/>
                <w:kern w:val="2"/>
                <w:szCs w:val="22"/>
              </w:rPr>
              <w:t>2人，四川省杰出青年基金2人，IEEE Senior Member 2人。在智能学习及其相关应用领域的国际期刊IEEE Transactions on Neural Networks and Learning Systems、IEEE Transactions on Cybernetics、IEEE Transactions on Industrial Informatics、Applied Soft Computing等发表SCI论文100余篇，被引6000余次，授权国家发明专利30余件。获教育部自然科学奖一等奖和二等奖共3项、四川省科学技术进步一等奖2项、多项国际学术会议最佳论文奖等，在相关智能学习、图像处理、机器视觉等领域积累了较好的科研成果和研究经验。</w:t>
            </w:r>
          </w:p>
          <w:p>
            <w:pPr>
              <w:widowControl w:val="0"/>
              <w:spacing w:line="400" w:lineRule="exact"/>
              <w:ind w:firstLine="480" w:firstLineChars="200"/>
              <w:jc w:val="both"/>
              <w:rPr>
                <w:rFonts w:ascii="Times New Roman" w:hAnsi="Times New Roman" w:cs="Times New Roman"/>
                <w:kern w:val="2"/>
                <w:szCs w:val="22"/>
              </w:rPr>
            </w:pPr>
            <w:r>
              <w:rPr>
                <w:rFonts w:ascii="Times New Roman" w:hAnsi="Times New Roman" w:cs="Times New Roman"/>
                <w:kern w:val="2"/>
                <w:szCs w:val="22"/>
              </w:rPr>
              <w:t>项目负责人一直从事人工智能、神经网络等方面的研究，主持包括自然基金面上项目、科技委重点项目、省重点研发计划项目等国家及省部级项目多项，主持企业横向项目多项，主研多个国家重点研发计划及国家重点单位合作项目，在国内外重要学术刊物和会议上发表论文40余篇。担任自然基金项目评议专家、教育部学位中心通讯评议专家以及多个国际学术期刊审稿人。</w:t>
            </w:r>
          </w:p>
          <w:p>
            <w:pPr>
              <w:widowControl w:val="0"/>
              <w:spacing w:before="120" w:after="240" w:line="400" w:lineRule="exact"/>
              <w:jc w:val="both"/>
              <w:rPr>
                <w:rFonts w:ascii="Calibri" w:hAnsi="Calibri" w:cs="Times New Roman"/>
                <w:b/>
                <w:kern w:val="2"/>
                <w:szCs w:val="22"/>
              </w:rPr>
            </w:pPr>
            <w:r>
              <w:rPr>
                <w:rFonts w:hint="eastAsia" w:ascii="Calibri" w:hAnsi="Calibri" w:cs="Times New Roman"/>
                <w:b/>
                <w:kern w:val="2"/>
                <w:szCs w:val="22"/>
              </w:rPr>
              <w:t>与本课题有关的、主持的科研项目：</w:t>
            </w:r>
          </w:p>
          <w:p>
            <w:pPr>
              <w:widowControl w:val="0"/>
              <w:numPr>
                <w:ilvl w:val="0"/>
                <w:numId w:val="4"/>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国家级重点项目：XXX技术研究，批准号2118Y13111A</w:t>
            </w:r>
          </w:p>
          <w:p>
            <w:pPr>
              <w:widowControl w:val="0"/>
              <w:numPr>
                <w:ilvl w:val="0"/>
                <w:numId w:val="4"/>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国家重点研发计划：XXX研究与示范，批准号2017YFC0821505-3</w:t>
            </w:r>
          </w:p>
          <w:p>
            <w:pPr>
              <w:widowControl w:val="0"/>
              <w:numPr>
                <w:ilvl w:val="0"/>
                <w:numId w:val="4"/>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国家自然科学基金面上项目：自适应人工智能在线教育关键技术研究</w:t>
            </w:r>
            <w:r>
              <w:rPr>
                <w:rFonts w:hint="eastAsia" w:ascii="Times New Roman" w:hAnsi="Times New Roman" w:cs="Times New Roman"/>
                <w:kern w:val="2"/>
                <w:sz w:val="20"/>
                <w:szCs w:val="20"/>
              </w:rPr>
              <w:t>，</w:t>
            </w:r>
            <w:r>
              <w:rPr>
                <w:rFonts w:ascii="Times New Roman" w:hAnsi="Times New Roman" w:cs="Times New Roman"/>
                <w:kern w:val="2"/>
                <w:sz w:val="20"/>
                <w:szCs w:val="20"/>
              </w:rPr>
              <w:t>批准号61877009</w:t>
            </w:r>
          </w:p>
          <w:p>
            <w:pPr>
              <w:widowControl w:val="0"/>
              <w:numPr>
                <w:ilvl w:val="0"/>
                <w:numId w:val="4"/>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国家自然科学基金面上项目：具有时序处理能力的Spiking-Deep Learning(脉冲深度学习)方法研究，批准号61573081</w:t>
            </w:r>
          </w:p>
          <w:p>
            <w:pPr>
              <w:widowControl w:val="0"/>
              <w:numPr>
                <w:ilvl w:val="0"/>
                <w:numId w:val="4"/>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四川省科技厅</w:t>
            </w:r>
            <w:r>
              <w:rPr>
                <w:rFonts w:hint="eastAsia" w:ascii="Times New Roman" w:hAnsi="Times New Roman" w:cs="Times New Roman"/>
                <w:kern w:val="2"/>
                <w:sz w:val="20"/>
                <w:szCs w:val="20"/>
              </w:rPr>
              <w:t>：</w:t>
            </w:r>
            <w:r>
              <w:rPr>
                <w:rFonts w:ascii="Times New Roman" w:hAnsi="Times New Roman" w:cs="Times New Roman"/>
                <w:kern w:val="2"/>
                <w:sz w:val="20"/>
                <w:szCs w:val="20"/>
              </w:rPr>
              <w:t>电缆隧道巡检智能机器人自主导航技术研究，批准号2018GZ0396</w:t>
            </w:r>
          </w:p>
          <w:p>
            <w:pPr>
              <w:widowControl w:val="0"/>
              <w:numPr>
                <w:ilvl w:val="0"/>
                <w:numId w:val="4"/>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四川省科技厅：智能工厂集成创新技术在军品X生产中的应用研究，批准号2019YFG0451</w:t>
            </w:r>
          </w:p>
          <w:p>
            <w:pPr>
              <w:widowControl w:val="0"/>
              <w:spacing w:before="120" w:after="240" w:line="400" w:lineRule="exact"/>
              <w:jc w:val="both"/>
              <w:rPr>
                <w:rFonts w:ascii="Calibri" w:hAnsi="Calibri" w:cs="Times New Roman"/>
                <w:b/>
                <w:kern w:val="2"/>
              </w:rPr>
            </w:pPr>
            <w:r>
              <w:rPr>
                <w:rFonts w:hint="eastAsia" w:ascii="Calibri" w:hAnsi="Calibri" w:cs="Times New Roman"/>
                <w:b/>
                <w:kern w:val="2"/>
              </w:rPr>
              <w:t>与本课题有关的专利</w:t>
            </w:r>
          </w:p>
          <w:bookmarkEnd w:id="36"/>
          <w:p>
            <w:pPr>
              <w:widowControl w:val="0"/>
              <w:spacing w:line="400" w:lineRule="exact"/>
              <w:jc w:val="both"/>
              <w:rPr>
                <w:rFonts w:ascii="Times New Roman" w:hAnsi="Times New Roman" w:cs="Times New Roman"/>
                <w:b/>
                <w:kern w:val="2"/>
                <w:sz w:val="20"/>
                <w:szCs w:val="20"/>
              </w:rPr>
            </w:pPr>
            <w:bookmarkStart w:id="37" w:name="_Hlk80191677"/>
            <w:r>
              <w:rPr>
                <w:rFonts w:hint="eastAsia" w:ascii="Times New Roman" w:hAnsi="Times New Roman" w:cs="Times New Roman"/>
                <w:b/>
                <w:kern w:val="2"/>
                <w:sz w:val="20"/>
                <w:szCs w:val="20"/>
              </w:rPr>
              <w:t>授权专利</w:t>
            </w:r>
          </w:p>
          <w:p>
            <w:pPr>
              <w:widowControl w:val="0"/>
              <w:numPr>
                <w:ilvl w:val="0"/>
                <w:numId w:val="5"/>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基于vanilla-R点对剔除策略的点云配准算法 专利号 ZL201710294425.1 授权日期2019.07.30</w:t>
            </w:r>
          </w:p>
          <w:p>
            <w:pPr>
              <w:widowControl w:val="0"/>
              <w:numPr>
                <w:ilvl w:val="0"/>
                <w:numId w:val="5"/>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密度自适应的激光点云特征检测方法 专利号ZL201810711625.7 授权日期 2021.07.02</w:t>
            </w:r>
          </w:p>
          <w:p>
            <w:pPr>
              <w:widowControl w:val="0"/>
              <w:spacing w:line="400" w:lineRule="exact"/>
              <w:jc w:val="both"/>
              <w:rPr>
                <w:rFonts w:ascii="Times New Roman" w:hAnsi="Times New Roman" w:cs="Times New Roman"/>
                <w:b/>
                <w:kern w:val="2"/>
                <w:sz w:val="20"/>
                <w:szCs w:val="20"/>
              </w:rPr>
            </w:pPr>
            <w:r>
              <w:rPr>
                <w:rFonts w:hint="eastAsia" w:ascii="Times New Roman" w:hAnsi="Times New Roman" w:cs="Times New Roman"/>
                <w:b/>
                <w:kern w:val="2"/>
                <w:sz w:val="20"/>
                <w:szCs w:val="20"/>
              </w:rPr>
              <w:t>受理专利</w:t>
            </w:r>
          </w:p>
          <w:p>
            <w:pPr>
              <w:widowControl w:val="0"/>
              <w:numPr>
                <w:ilvl w:val="0"/>
                <w:numId w:val="6"/>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一种变电站智能巡检机器人高精度定位方法，专利申请号201810934182.8</w:t>
            </w:r>
          </w:p>
          <w:p>
            <w:pPr>
              <w:widowControl w:val="0"/>
              <w:numPr>
                <w:ilvl w:val="0"/>
                <w:numId w:val="6"/>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一种基于点云分割匹配闭环校正的同步定位与构图算法，专利申请号201910604487.7</w:t>
            </w:r>
          </w:p>
          <w:p>
            <w:pPr>
              <w:widowControl w:val="0"/>
              <w:numPr>
                <w:ilvl w:val="0"/>
                <w:numId w:val="6"/>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基于卷积神经网络的视觉SLAM闭环检测算法</w:t>
            </w:r>
            <w:r>
              <w:rPr>
                <w:rFonts w:hint="eastAsia" w:ascii="Times New Roman" w:hAnsi="Times New Roman" w:cs="Times New Roman"/>
                <w:kern w:val="2"/>
                <w:sz w:val="20"/>
                <w:szCs w:val="20"/>
              </w:rPr>
              <w:t>，</w:t>
            </w:r>
            <w:r>
              <w:rPr>
                <w:rFonts w:ascii="Times New Roman" w:hAnsi="Times New Roman" w:cs="Times New Roman"/>
                <w:kern w:val="2"/>
                <w:sz w:val="20"/>
                <w:szCs w:val="20"/>
              </w:rPr>
              <w:t>专利申请号201910605055.8</w:t>
            </w:r>
          </w:p>
          <w:p>
            <w:pPr>
              <w:widowControl w:val="0"/>
              <w:numPr>
                <w:ilvl w:val="0"/>
                <w:numId w:val="6"/>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基于LMD和脉冲神经网络的轴承故障诊断方法</w:t>
            </w:r>
            <w:r>
              <w:rPr>
                <w:rFonts w:hint="eastAsia" w:ascii="Times New Roman" w:hAnsi="Times New Roman" w:cs="Times New Roman"/>
                <w:kern w:val="2"/>
                <w:sz w:val="20"/>
                <w:szCs w:val="20"/>
              </w:rPr>
              <w:t>，</w:t>
            </w:r>
            <w:r>
              <w:rPr>
                <w:rFonts w:ascii="Times New Roman" w:hAnsi="Times New Roman" w:cs="Times New Roman"/>
                <w:kern w:val="2"/>
                <w:sz w:val="20"/>
                <w:szCs w:val="20"/>
              </w:rPr>
              <w:t>专利申请号202010105681.3</w:t>
            </w:r>
          </w:p>
          <w:p>
            <w:pPr>
              <w:widowControl w:val="0"/>
              <w:numPr>
                <w:ilvl w:val="0"/>
                <w:numId w:val="6"/>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基于多层次地图匹配的移动机器人位姿纠正算法</w:t>
            </w:r>
            <w:r>
              <w:rPr>
                <w:rFonts w:hint="eastAsia" w:ascii="Times New Roman" w:hAnsi="Times New Roman" w:cs="Times New Roman"/>
                <w:kern w:val="2"/>
                <w:sz w:val="20"/>
                <w:szCs w:val="20"/>
              </w:rPr>
              <w:t>，</w:t>
            </w:r>
            <w:r>
              <w:rPr>
                <w:rFonts w:ascii="Times New Roman" w:hAnsi="Times New Roman" w:cs="Times New Roman"/>
                <w:kern w:val="2"/>
                <w:sz w:val="20"/>
                <w:szCs w:val="20"/>
              </w:rPr>
              <w:t>专利申请号CN201810353637.7</w:t>
            </w:r>
          </w:p>
          <w:p>
            <w:pPr>
              <w:widowControl w:val="0"/>
              <w:numPr>
                <w:ilvl w:val="0"/>
                <w:numId w:val="6"/>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智能变电站辅助控制系统子设备模拟装置及测试方法</w:t>
            </w:r>
            <w:r>
              <w:rPr>
                <w:rFonts w:hint="eastAsia" w:ascii="Times New Roman" w:hAnsi="Times New Roman" w:cs="Times New Roman"/>
                <w:kern w:val="2"/>
                <w:sz w:val="20"/>
                <w:szCs w:val="20"/>
              </w:rPr>
              <w:t>，</w:t>
            </w:r>
            <w:r>
              <w:rPr>
                <w:rFonts w:ascii="Times New Roman" w:hAnsi="Times New Roman" w:cs="Times New Roman"/>
                <w:kern w:val="2"/>
                <w:sz w:val="20"/>
                <w:szCs w:val="20"/>
              </w:rPr>
              <w:t>专利申请号CN201810921394.2</w:t>
            </w:r>
          </w:p>
          <w:p>
            <w:pPr>
              <w:widowControl w:val="0"/>
              <w:numPr>
                <w:ilvl w:val="0"/>
                <w:numId w:val="6"/>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一种基于图的栅格地图分割方法</w:t>
            </w:r>
            <w:r>
              <w:rPr>
                <w:rFonts w:hint="eastAsia" w:ascii="Times New Roman" w:hAnsi="Times New Roman" w:cs="Times New Roman"/>
                <w:kern w:val="2"/>
                <w:sz w:val="20"/>
                <w:szCs w:val="20"/>
              </w:rPr>
              <w:t>，</w:t>
            </w:r>
            <w:r>
              <w:rPr>
                <w:rFonts w:ascii="Times New Roman" w:hAnsi="Times New Roman" w:cs="Times New Roman"/>
                <w:kern w:val="2"/>
                <w:sz w:val="20"/>
                <w:szCs w:val="20"/>
              </w:rPr>
              <w:t>专利申请号CN201810823381.1</w:t>
            </w:r>
          </w:p>
          <w:p>
            <w:pPr>
              <w:widowControl w:val="0"/>
              <w:numPr>
                <w:ilvl w:val="0"/>
                <w:numId w:val="6"/>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一种基于深度学习的指针式仪表读数方法</w:t>
            </w:r>
            <w:r>
              <w:rPr>
                <w:rFonts w:hint="eastAsia" w:ascii="Times New Roman" w:hAnsi="Times New Roman" w:cs="Times New Roman"/>
                <w:kern w:val="2"/>
                <w:sz w:val="20"/>
                <w:szCs w:val="20"/>
              </w:rPr>
              <w:t>，</w:t>
            </w:r>
            <w:r>
              <w:rPr>
                <w:rFonts w:ascii="Times New Roman" w:hAnsi="Times New Roman" w:cs="Times New Roman"/>
                <w:kern w:val="2"/>
                <w:sz w:val="20"/>
                <w:szCs w:val="20"/>
              </w:rPr>
              <w:t>专利申请号CN201811413253.6</w:t>
            </w:r>
          </w:p>
          <w:p>
            <w:pPr>
              <w:widowControl w:val="0"/>
              <w:numPr>
                <w:ilvl w:val="0"/>
                <w:numId w:val="6"/>
              </w:numPr>
              <w:spacing w:line="400" w:lineRule="exact"/>
              <w:jc w:val="both"/>
              <w:rPr>
                <w:rFonts w:ascii="Times New Roman" w:hAnsi="Times New Roman" w:cs="Times New Roman"/>
                <w:kern w:val="2"/>
                <w:sz w:val="20"/>
                <w:szCs w:val="20"/>
              </w:rPr>
            </w:pPr>
            <w:r>
              <w:rPr>
                <w:rFonts w:ascii="Times New Roman" w:hAnsi="Times New Roman" w:cs="Times New Roman"/>
                <w:kern w:val="2"/>
                <w:sz w:val="20"/>
                <w:szCs w:val="20"/>
              </w:rPr>
              <w:t>基于多次位姿校正的移动机器人快速精确定位算法</w:t>
            </w:r>
            <w:r>
              <w:rPr>
                <w:rFonts w:hint="eastAsia" w:ascii="Times New Roman" w:hAnsi="Times New Roman" w:cs="Times New Roman"/>
                <w:kern w:val="2"/>
                <w:sz w:val="20"/>
                <w:szCs w:val="20"/>
              </w:rPr>
              <w:t>，</w:t>
            </w:r>
            <w:r>
              <w:rPr>
                <w:rFonts w:ascii="Times New Roman" w:hAnsi="Times New Roman" w:cs="Times New Roman"/>
                <w:kern w:val="2"/>
                <w:sz w:val="20"/>
                <w:szCs w:val="20"/>
              </w:rPr>
              <w:t>专利申请号CN201910604608.8</w:t>
            </w:r>
          </w:p>
          <w:p>
            <w:pPr>
              <w:widowControl w:val="0"/>
              <w:spacing w:before="120" w:after="240" w:line="400" w:lineRule="exact"/>
              <w:jc w:val="both"/>
              <w:rPr>
                <w:rFonts w:ascii="Calibri" w:hAnsi="Calibri" w:cs="Times New Roman"/>
                <w:b/>
                <w:kern w:val="2"/>
                <w:szCs w:val="22"/>
              </w:rPr>
            </w:pPr>
            <w:r>
              <w:rPr>
                <w:rFonts w:hint="eastAsia" w:ascii="Calibri" w:hAnsi="Calibri" w:cs="Times New Roman"/>
                <w:b/>
                <w:kern w:val="2"/>
                <w:szCs w:val="22"/>
              </w:rPr>
              <w:t>与本课题有关的论文：</w:t>
            </w:r>
          </w:p>
          <w:p>
            <w:pPr>
              <w:widowControl w:val="0"/>
              <w:numPr>
                <w:ilvl w:val="0"/>
                <w:numId w:val="7"/>
              </w:numPr>
              <w:spacing w:line="400" w:lineRule="exact"/>
              <w:jc w:val="both"/>
              <w:rPr>
                <w:rFonts w:hint="eastAsia" w:ascii="TimesNewRomanPSMT" w:hAnsi="TimesNewRomanPSMT"/>
                <w:color w:val="000000"/>
                <w:sz w:val="20"/>
                <w:szCs w:val="20"/>
              </w:rPr>
            </w:pPr>
            <w:r>
              <w:rPr>
                <w:rFonts w:ascii="TimesNewRomanPSMT" w:hAnsi="TimesNewRomanPSMT"/>
                <w:b/>
                <w:color w:val="000000"/>
                <w:sz w:val="20"/>
                <w:szCs w:val="20"/>
              </w:rPr>
              <w:t>Zuo L</w:t>
            </w:r>
            <w:r>
              <w:rPr>
                <w:rFonts w:ascii="TimesNewRomanPSMT" w:hAnsi="TimesNewRomanPSMT"/>
                <w:color w:val="000000"/>
                <w:sz w:val="20"/>
                <w:szCs w:val="20"/>
              </w:rPr>
              <w:t>, Jing M, Li J, et al. Challenging tough samples in unsupervised domain adaptation[J]. Pattern Recognition, 2021, 110: 107540.</w:t>
            </w:r>
          </w:p>
          <w:p>
            <w:pPr>
              <w:widowControl w:val="0"/>
              <w:numPr>
                <w:ilvl w:val="0"/>
                <w:numId w:val="7"/>
              </w:numPr>
              <w:spacing w:line="400" w:lineRule="exact"/>
              <w:jc w:val="both"/>
              <w:rPr>
                <w:rFonts w:hint="eastAsia" w:ascii="TimesNewRomanPSMT" w:hAnsi="TimesNewRomanPSMT"/>
                <w:color w:val="000000"/>
                <w:sz w:val="20"/>
                <w:szCs w:val="20"/>
              </w:rPr>
            </w:pPr>
            <w:r>
              <w:rPr>
                <w:rFonts w:ascii="TimesNewRomanPSMT" w:hAnsi="TimesNewRomanPSMT"/>
                <w:b/>
                <w:color w:val="000000"/>
                <w:sz w:val="20"/>
                <w:szCs w:val="20"/>
              </w:rPr>
              <w:t>Zuo L</w:t>
            </w:r>
            <w:r>
              <w:rPr>
                <w:rFonts w:ascii="TimesNewRomanPSMT" w:hAnsi="TimesNewRomanPSMT"/>
                <w:color w:val="000000"/>
                <w:sz w:val="20"/>
                <w:szCs w:val="20"/>
              </w:rPr>
              <w:t>, He P, Zhang C, et al. A robust approach to reading recognition of pointer meters based on improved mask-RCNN[J]. Neurocomputing, 2020, 388: 90-101.</w:t>
            </w:r>
          </w:p>
          <w:p>
            <w:pPr>
              <w:widowControl w:val="0"/>
              <w:numPr>
                <w:ilvl w:val="0"/>
                <w:numId w:val="7"/>
              </w:numPr>
              <w:spacing w:line="400" w:lineRule="exact"/>
              <w:jc w:val="both"/>
              <w:rPr>
                <w:rFonts w:hint="eastAsia" w:ascii="TimesNewRomanPSMT" w:hAnsi="TimesNewRomanPSMT"/>
                <w:sz w:val="20"/>
                <w:szCs w:val="20"/>
              </w:rPr>
            </w:pPr>
            <w:r>
              <w:rPr>
                <w:rFonts w:ascii="TimesNewRomanPSMT" w:hAnsi="TimesNewRomanPSMT"/>
                <w:b/>
                <w:sz w:val="20"/>
                <w:szCs w:val="20"/>
              </w:rPr>
              <w:t>Zuo L</w:t>
            </w:r>
            <w:r>
              <w:rPr>
                <w:rFonts w:ascii="TimesNewRomanPSMT" w:hAnsi="TimesNewRomanPSMT"/>
                <w:sz w:val="20"/>
                <w:szCs w:val="20"/>
              </w:rPr>
              <w:t>, Zhang L, Zhang Z H, et al. A spiking neural network-based approach to bearing fault diagnosis[J]. Journal of Manufacturing Systems, 2020. 10.1016</w:t>
            </w:r>
          </w:p>
          <w:p>
            <w:pPr>
              <w:widowControl w:val="0"/>
              <w:numPr>
                <w:ilvl w:val="0"/>
                <w:numId w:val="7"/>
              </w:numPr>
              <w:spacing w:line="400" w:lineRule="exact"/>
              <w:jc w:val="both"/>
              <w:rPr>
                <w:rFonts w:hint="eastAsia" w:ascii="TimesNewRomanPSMT" w:hAnsi="TimesNewRomanPSMT"/>
                <w:color w:val="000000"/>
                <w:sz w:val="20"/>
                <w:szCs w:val="20"/>
              </w:rPr>
            </w:pPr>
            <w:r>
              <w:rPr>
                <w:rFonts w:ascii="TimesNewRomanPSMT" w:hAnsi="TimesNewRomanPSMT"/>
                <w:b/>
                <w:color w:val="000000"/>
                <w:sz w:val="20"/>
                <w:szCs w:val="20"/>
              </w:rPr>
              <w:t>Zuo L</w:t>
            </w:r>
            <w:r>
              <w:rPr>
                <w:rFonts w:ascii="TimesNewRomanPSMT" w:hAnsi="TimesNewRomanPSMT"/>
                <w:color w:val="000000"/>
                <w:sz w:val="20"/>
                <w:szCs w:val="20"/>
              </w:rPr>
              <w:t>, Chen Y, Zhang L, et al. A spiking neural network with probability information transmission[J]. Neurocomputing, 2020, 408: 1-12.</w:t>
            </w:r>
          </w:p>
          <w:p>
            <w:pPr>
              <w:widowControl w:val="0"/>
              <w:numPr>
                <w:ilvl w:val="0"/>
                <w:numId w:val="7"/>
              </w:numPr>
              <w:spacing w:line="400" w:lineRule="exact"/>
              <w:jc w:val="both"/>
              <w:rPr>
                <w:rFonts w:hint="eastAsia" w:ascii="TimesNewRomanPSMT" w:hAnsi="TimesNewRomanPSMT"/>
                <w:color w:val="000000"/>
                <w:sz w:val="20"/>
                <w:szCs w:val="20"/>
              </w:rPr>
            </w:pPr>
            <w:r>
              <w:rPr>
                <w:rFonts w:ascii="TimesNewRomanPSMT" w:hAnsi="TimesNewRomanPSMT"/>
                <w:b/>
                <w:color w:val="000000"/>
                <w:sz w:val="20"/>
                <w:szCs w:val="20"/>
              </w:rPr>
              <w:t>Zuo L</w:t>
            </w:r>
            <w:r>
              <w:rPr>
                <w:rFonts w:ascii="TimesNewRomanPSMT" w:hAnsi="TimesNewRomanPSMT"/>
                <w:color w:val="000000"/>
                <w:sz w:val="20"/>
                <w:szCs w:val="20"/>
              </w:rPr>
              <w:t>, Xiahou T, Liu Y. Reliability assessment of systems subject to interval-valued probabilistic common cause failure by evidential networks[J]. Journal of Intelligent &amp; Fuzzy Systems, 2019, 36(4): 3711-3723.</w:t>
            </w:r>
          </w:p>
          <w:p>
            <w:pPr>
              <w:widowControl w:val="0"/>
              <w:numPr>
                <w:ilvl w:val="0"/>
                <w:numId w:val="7"/>
              </w:numPr>
              <w:spacing w:line="400" w:lineRule="exact"/>
              <w:jc w:val="both"/>
              <w:rPr>
                <w:rFonts w:hint="eastAsia" w:ascii="TimesNewRomanPSMT" w:hAnsi="TimesNewRomanPSMT"/>
                <w:color w:val="000000"/>
                <w:sz w:val="20"/>
                <w:szCs w:val="20"/>
              </w:rPr>
            </w:pPr>
            <w:r>
              <w:rPr>
                <w:rFonts w:ascii="TimesNewRomanPSMT" w:hAnsi="TimesNewRomanPSMT"/>
                <w:b/>
                <w:color w:val="000000"/>
                <w:sz w:val="20"/>
                <w:szCs w:val="20"/>
              </w:rPr>
              <w:t>Zuo L</w:t>
            </w:r>
            <w:r>
              <w:rPr>
                <w:rFonts w:ascii="TimesNewRomanPSMT" w:hAnsi="TimesNewRomanPSMT"/>
                <w:color w:val="000000"/>
                <w:sz w:val="20"/>
                <w:szCs w:val="20"/>
              </w:rPr>
              <w:t>, Chen W, Qu H, et al. An Intelligent Knowledge Extraction Framework for Recognizing Identification Information From Real-World ID Card Images[J]. IEEE Access, 2019, 7: 165448-165457.</w:t>
            </w:r>
          </w:p>
          <w:p>
            <w:pPr>
              <w:widowControl w:val="0"/>
              <w:numPr>
                <w:ilvl w:val="0"/>
                <w:numId w:val="7"/>
              </w:numPr>
              <w:spacing w:line="400" w:lineRule="exact"/>
              <w:jc w:val="both"/>
              <w:rPr>
                <w:rFonts w:hint="eastAsia" w:ascii="TimesNewRomanPSMT" w:hAnsi="TimesNewRomanPSMT"/>
                <w:color w:val="000000"/>
                <w:sz w:val="20"/>
                <w:szCs w:val="20"/>
              </w:rPr>
            </w:pPr>
            <w:r>
              <w:rPr>
                <w:rFonts w:ascii="TimesNewRomanPSMT" w:hAnsi="TimesNewRomanPSMT"/>
                <w:b/>
                <w:color w:val="000000"/>
                <w:sz w:val="20"/>
                <w:szCs w:val="20"/>
              </w:rPr>
              <w:t>Zuo L</w:t>
            </w:r>
            <w:r>
              <w:rPr>
                <w:rFonts w:ascii="TimesNewRomanPSMT" w:hAnsi="TimesNewRomanPSMT"/>
                <w:color w:val="000000"/>
                <w:sz w:val="20"/>
                <w:szCs w:val="20"/>
              </w:rPr>
              <w:t>, Xiahou T, Liu Y. Evidential network-based failure analysis for systems suffering common cause failure and model parameter uncertainty[J]. IMechE Part C: Journal of Mechanical Engineering Science, 2019, 233(6): 2225-2235.</w:t>
            </w:r>
          </w:p>
          <w:p>
            <w:pPr>
              <w:widowControl w:val="0"/>
              <w:numPr>
                <w:ilvl w:val="0"/>
                <w:numId w:val="7"/>
              </w:numPr>
              <w:spacing w:line="400" w:lineRule="exact"/>
              <w:jc w:val="both"/>
              <w:rPr>
                <w:rFonts w:hint="eastAsia" w:ascii="TimesNewRomanPSMT" w:hAnsi="TimesNewRomanPSMT"/>
                <w:color w:val="000000"/>
                <w:sz w:val="20"/>
                <w:szCs w:val="20"/>
              </w:rPr>
            </w:pPr>
            <w:r>
              <w:rPr>
                <w:rFonts w:ascii="TimesNewRomanPSMT" w:hAnsi="TimesNewRomanPSMT"/>
                <w:color w:val="000000"/>
                <w:sz w:val="20"/>
                <w:szCs w:val="20"/>
              </w:rPr>
              <w:t xml:space="preserve">Wang Z, </w:t>
            </w:r>
            <w:r>
              <w:rPr>
                <w:rFonts w:ascii="TimesNewRomanPSMT" w:hAnsi="TimesNewRomanPSMT"/>
                <w:b/>
                <w:color w:val="000000"/>
                <w:sz w:val="20"/>
                <w:szCs w:val="20"/>
              </w:rPr>
              <w:t>Zuo L</w:t>
            </w:r>
            <w:r>
              <w:rPr>
                <w:rFonts w:ascii="TimesNewRomanPSMT" w:hAnsi="TimesNewRomanPSMT"/>
                <w:color w:val="000000"/>
                <w:sz w:val="20"/>
                <w:szCs w:val="20"/>
              </w:rPr>
              <w:t>, Ma J, et al. Exploring nonnegative and low-rank correlation for noise-resistant spectral clustering[J]. World Wide Web, 2020, 23(3): 2107-2127.</w:t>
            </w:r>
          </w:p>
          <w:p>
            <w:pPr>
              <w:widowControl w:val="0"/>
              <w:spacing w:before="120" w:after="240" w:line="400" w:lineRule="exact"/>
              <w:jc w:val="both"/>
              <w:rPr>
                <w:rFonts w:ascii="Times New Roman" w:hAnsi="Times New Roman" w:cs="Times New Roman"/>
                <w:b/>
                <w:kern w:val="2"/>
              </w:rPr>
            </w:pPr>
            <w:r>
              <w:rPr>
                <w:rFonts w:ascii="Times New Roman" w:hAnsi="Times New Roman" w:cs="Times New Roman"/>
                <w:b/>
                <w:kern w:val="2"/>
              </w:rPr>
              <w:t>6.2 项目实施的风险及应对策略</w:t>
            </w:r>
          </w:p>
          <w:p>
            <w:pPr>
              <w:spacing w:line="400" w:lineRule="exact"/>
              <w:ind w:firstLine="480" w:firstLineChars="200"/>
              <w:rPr>
                <w:rFonts w:ascii="Times New Roman" w:hAnsi="Times New Roman" w:cs="Times New Roman"/>
                <w:sz w:val="20"/>
                <w:szCs w:val="20"/>
              </w:rPr>
            </w:pPr>
            <w:r>
              <w:rPr>
                <w:rFonts w:hint="eastAsia" w:ascii="Calibri" w:hAnsi="Calibri" w:cs="Times New Roman"/>
                <w:kern w:val="2"/>
                <w:szCs w:val="22"/>
              </w:rPr>
              <w:t>项目研究的对象源于震后变电站设备快速检测中亟待解决的关键技术难题，属于国家支持的领域，不存在政策风险。本项目充分结合当前无人巡检技术、机器视觉发展前沿，从实际出发，经过深入探讨变电站震后应用场景中所面临的困难提炼而成，具有显著应用研究价值。所涉及的机器视觉、智能检测等技术，项目组前期已经开展过多项相关的科研项目、技术储备充分，具有较强的理论研究、设备平台和工程技术基础，能为本项目新理论与新方法的探索提供重要的借鉴和突破口，能够快速解决本项目具体实践过程当中遇到的该领域特有的问题。因此，本项目的研究内容和技术路线是切实可行的。</w:t>
            </w:r>
            <w:bookmarkEnd w:id="37"/>
          </w:p>
        </w:tc>
      </w:tr>
      <w:tr>
        <w:tblPrEx>
          <w:tblCellMar>
            <w:top w:w="0" w:type="dxa"/>
            <w:left w:w="0" w:type="dxa"/>
            <w:bottom w:w="0" w:type="dxa"/>
            <w:right w:w="0" w:type="dxa"/>
          </w:tblCellMar>
        </w:tblPrEx>
        <w:trPr>
          <w:jc w:val="center"/>
        </w:trPr>
        <w:tc>
          <w:tcPr>
            <w:tcW w:w="10200" w:type="dxa"/>
            <w:tcBorders>
              <w:top w:val="single" w:color="000000" w:sz="6" w:space="0"/>
              <w:left w:val="single" w:color="000000" w:sz="6" w:space="0"/>
              <w:bottom w:val="single" w:color="000000" w:sz="6" w:space="0"/>
              <w:right w:val="single" w:color="000000" w:sz="6" w:space="0"/>
            </w:tcBorders>
            <w:vAlign w:val="center"/>
          </w:tcPr>
          <w:p>
            <w:pPr>
              <w:pStyle w:val="27"/>
              <w:wordWrap w:val="0"/>
              <w:rPr>
                <w:rFonts w:cs="Times New Roman"/>
                <w:spacing w:val="15"/>
              </w:rPr>
            </w:pPr>
            <w:r>
              <w:rPr>
                <w:rFonts w:hint="eastAsia" w:cs="Times New Roman"/>
              </w:rPr>
              <w:t>七</w:t>
            </w:r>
            <w:r>
              <w:rPr>
                <w:rStyle w:val="59"/>
                <w:rFonts w:hint="eastAsia" w:ascii="宋体" w:hAnsi="宋体"/>
                <w:spacing w:val="15"/>
              </w:rPr>
              <w:t>、项目的年度进度及预期目标</w:t>
            </w:r>
          </w:p>
        </w:tc>
      </w:tr>
      <w:tr>
        <w:tblPrEx>
          <w:tblCellMar>
            <w:top w:w="0" w:type="dxa"/>
            <w:left w:w="0" w:type="dxa"/>
            <w:bottom w:w="0" w:type="dxa"/>
            <w:right w:w="0" w:type="dxa"/>
          </w:tblCellMar>
        </w:tblPrEx>
        <w:trPr>
          <w:trHeight w:val="1545" w:hRule="atLeast"/>
          <w:jc w:val="center"/>
        </w:trPr>
        <w:tc>
          <w:tcPr>
            <w:tcW w:w="10200" w:type="dxa"/>
            <w:tcBorders>
              <w:top w:val="single" w:color="000000" w:sz="6" w:space="0"/>
              <w:left w:val="single" w:color="000000" w:sz="6" w:space="0"/>
              <w:bottom w:val="single" w:color="000000" w:sz="6" w:space="0"/>
              <w:right w:val="single" w:color="000000" w:sz="6" w:space="0"/>
            </w:tcBorders>
          </w:tcPr>
          <w:p>
            <w:pPr>
              <w:spacing w:before="120" w:after="240" w:line="400" w:lineRule="exact"/>
              <w:rPr>
                <w:rStyle w:val="75"/>
                <w:rFonts w:ascii="Times New Roman" w:hAnsi="Times New Roman"/>
              </w:rPr>
            </w:pPr>
            <w:r>
              <w:rPr>
                <w:rStyle w:val="75"/>
                <w:rFonts w:ascii="Times New Roman" w:hAnsi="Times New Roman" w:cs="Times New Roman"/>
                <w:b w:val="0"/>
              </w:rPr>
              <w:t xml:space="preserve">7.1 </w:t>
            </w:r>
            <w:r>
              <w:rPr>
                <w:rStyle w:val="75"/>
                <w:rFonts w:ascii="Times New Roman" w:hAnsi="Times New Roman"/>
              </w:rPr>
              <w:t>项目的年度进度</w:t>
            </w:r>
          </w:p>
          <w:p>
            <w:pPr>
              <w:pStyle w:val="8"/>
              <w:spacing w:line="400" w:lineRule="exact"/>
              <w:ind w:firstLine="482" w:firstLineChars="200"/>
              <w:jc w:val="both"/>
              <w:rPr>
                <w:rStyle w:val="76"/>
                <w:rFonts w:ascii="Times New Roman" w:hAnsi="Times New Roman" w:cs="Times New Roman"/>
              </w:rPr>
            </w:pPr>
            <w:r>
              <w:rPr>
                <w:rStyle w:val="75"/>
                <w:rFonts w:ascii="Times New Roman" w:hAnsi="Times New Roman" w:cs="Times New Roman"/>
              </w:rPr>
              <w:t>2022.1</w:t>
            </w:r>
            <w:r>
              <w:rPr>
                <w:rStyle w:val="76"/>
                <w:rFonts w:ascii="Times New Roman" w:hAnsi="Times New Roman" w:cs="Times New Roman"/>
              </w:rPr>
              <w:t>～</w:t>
            </w:r>
            <w:r>
              <w:rPr>
                <w:rStyle w:val="75"/>
                <w:rFonts w:ascii="Times New Roman" w:hAnsi="Times New Roman" w:cs="Times New Roman"/>
              </w:rPr>
              <w:t>2022.6</w:t>
            </w:r>
            <w:r>
              <w:rPr>
                <w:rStyle w:val="76"/>
                <w:rFonts w:ascii="Times New Roman" w:hAnsi="Times New Roman" w:cs="Times New Roman"/>
              </w:rPr>
              <w:t>：对变电站进行实地调研，明确变电站震害损毁检测的主要目标和具体内容。结合相关经验和已有技术，提出技术要求和指标，</w:t>
            </w:r>
            <w:r>
              <w:rPr>
                <w:rStyle w:val="76"/>
                <w:rFonts w:hint="eastAsia" w:ascii="Times New Roman" w:hAnsi="Times New Roman" w:cs="Times New Roman"/>
              </w:rPr>
              <w:t>细化</w:t>
            </w:r>
            <w:r>
              <w:rPr>
                <w:rStyle w:val="76"/>
                <w:rFonts w:ascii="Times New Roman" w:hAnsi="Times New Roman" w:cs="Times New Roman"/>
              </w:rPr>
              <w:t>变电站震害损毁智能检测技术方案。</w:t>
            </w:r>
          </w:p>
          <w:p>
            <w:pPr>
              <w:pStyle w:val="8"/>
              <w:spacing w:line="400" w:lineRule="exact"/>
              <w:ind w:firstLine="482" w:firstLineChars="200"/>
              <w:jc w:val="both"/>
              <w:rPr>
                <w:rStyle w:val="76"/>
                <w:rFonts w:ascii="Times New Roman" w:hAnsi="Times New Roman" w:cs="Times New Roman"/>
              </w:rPr>
            </w:pPr>
            <w:r>
              <w:rPr>
                <w:rStyle w:val="75"/>
                <w:rFonts w:ascii="Times New Roman" w:hAnsi="Times New Roman" w:cs="Times New Roman"/>
              </w:rPr>
              <w:t>2022.7</w:t>
            </w:r>
            <w:r>
              <w:rPr>
                <w:rStyle w:val="76"/>
                <w:rFonts w:ascii="Times New Roman" w:hAnsi="Times New Roman" w:cs="Times New Roman"/>
              </w:rPr>
              <w:t>～</w:t>
            </w:r>
            <w:r>
              <w:rPr>
                <w:rStyle w:val="75"/>
                <w:rFonts w:ascii="Times New Roman" w:hAnsi="Times New Roman" w:cs="Times New Roman"/>
              </w:rPr>
              <w:t>2022.12</w:t>
            </w:r>
            <w:r>
              <w:rPr>
                <w:rStyle w:val="76"/>
                <w:rFonts w:ascii="Times New Roman" w:hAnsi="Times New Roman" w:cs="Times New Roman"/>
              </w:rPr>
              <w:t>：在仿真环境下对无人机实时避障与导航算法进行验证与改进。在公开数据集上对拟采用的图像复原算法及损毁检测算法进行验证与改进</w:t>
            </w:r>
            <w:r>
              <w:rPr>
                <w:rStyle w:val="76"/>
                <w:rFonts w:hint="eastAsia" w:ascii="Times New Roman" w:hAnsi="Times New Roman" w:cs="Times New Roman"/>
              </w:rPr>
              <w:t>，设计并搭建测试平台。</w:t>
            </w:r>
          </w:p>
          <w:p>
            <w:pPr>
              <w:spacing w:line="400" w:lineRule="exact"/>
              <w:ind w:firstLine="482" w:firstLineChars="200"/>
              <w:jc w:val="both"/>
              <w:rPr>
                <w:rStyle w:val="76"/>
                <w:rFonts w:ascii="Times New Roman" w:hAnsi="Times New Roman" w:cs="Times New Roman"/>
              </w:rPr>
            </w:pPr>
            <w:r>
              <w:rPr>
                <w:rStyle w:val="75"/>
                <w:rFonts w:ascii="Times New Roman" w:hAnsi="Times New Roman" w:cs="Times New Roman"/>
              </w:rPr>
              <w:t>2023.01</w:t>
            </w:r>
            <w:r>
              <w:rPr>
                <w:rStyle w:val="76"/>
                <w:rFonts w:ascii="Times New Roman" w:hAnsi="Times New Roman" w:cs="Times New Roman"/>
              </w:rPr>
              <w:t>～</w:t>
            </w:r>
            <w:r>
              <w:rPr>
                <w:rStyle w:val="75"/>
                <w:rFonts w:ascii="Times New Roman" w:hAnsi="Times New Roman" w:cs="Times New Roman"/>
              </w:rPr>
              <w:t>2023.06</w:t>
            </w:r>
            <w:r>
              <w:rPr>
                <w:rStyle w:val="76"/>
                <w:rFonts w:ascii="Times New Roman" w:hAnsi="Times New Roman" w:cs="Times New Roman"/>
              </w:rPr>
              <w:t>：对无人机实时避障与导航算法进行实地调试，并使用无人机搭载相机采集变电站图像数据</w:t>
            </w:r>
            <w:bookmarkStart w:id="38" w:name="_GoBack"/>
            <w:bookmarkEnd w:id="38"/>
            <w:r>
              <w:rPr>
                <w:rStyle w:val="76"/>
                <w:rFonts w:ascii="Times New Roman" w:hAnsi="Times New Roman" w:cs="Times New Roman"/>
              </w:rPr>
              <w:t>。在变电站数据集上对图像复原和损毁检测算法进行验证。</w:t>
            </w:r>
          </w:p>
          <w:p>
            <w:pPr>
              <w:spacing w:line="400" w:lineRule="exact"/>
              <w:ind w:firstLine="482" w:firstLineChars="200"/>
              <w:jc w:val="both"/>
              <w:rPr>
                <w:rStyle w:val="76"/>
                <w:rFonts w:ascii="Times New Roman" w:hAnsi="Times New Roman" w:cs="Times New Roman"/>
              </w:rPr>
            </w:pPr>
            <w:r>
              <w:rPr>
                <w:rStyle w:val="75"/>
                <w:rFonts w:ascii="Times New Roman" w:hAnsi="Times New Roman" w:cs="Times New Roman"/>
              </w:rPr>
              <w:t>2023.07</w:t>
            </w:r>
            <w:r>
              <w:rPr>
                <w:rStyle w:val="76"/>
                <w:rFonts w:ascii="Times New Roman" w:hAnsi="Times New Roman" w:cs="Times New Roman"/>
              </w:rPr>
              <w:t>～</w:t>
            </w:r>
            <w:r>
              <w:rPr>
                <w:rStyle w:val="75"/>
                <w:rFonts w:ascii="Times New Roman" w:hAnsi="Times New Roman" w:cs="Times New Roman"/>
              </w:rPr>
              <w:t>2023.12</w:t>
            </w:r>
            <w:r>
              <w:rPr>
                <w:rStyle w:val="76"/>
                <w:rFonts w:ascii="Times New Roman" w:hAnsi="Times New Roman" w:cs="Times New Roman"/>
              </w:rPr>
              <w:t>：</w:t>
            </w:r>
            <w:r>
              <w:rPr>
                <w:rStyle w:val="76"/>
                <w:rFonts w:ascii="Times New Roman" w:hAnsi="Times New Roman" w:cs="Times New Roman"/>
                <w:color w:val="000000" w:themeColor="text1"/>
                <w14:textFill>
                  <w14:solidFill>
                    <w14:schemeClr w14:val="tx1"/>
                  </w14:solidFill>
                </w14:textFill>
              </w:rPr>
              <w:t>对试运行的数据进行分析，将对项目实施过程中所取得的成果和不足进行总结，进一步提炼，将相关设计思路与算法申报专利，并研讨下一阶段的研究计划，准备项目验收。</w:t>
            </w:r>
          </w:p>
          <w:p>
            <w:pPr>
              <w:spacing w:before="120" w:after="240" w:line="400" w:lineRule="exact"/>
              <w:rPr>
                <w:rStyle w:val="76"/>
                <w:rFonts w:ascii="Times New Roman" w:hAnsi="Times New Roman" w:cs="Times New Roman"/>
                <w:b/>
              </w:rPr>
            </w:pPr>
            <w:r>
              <w:rPr>
                <w:rStyle w:val="75"/>
                <w:rFonts w:ascii="Times New Roman" w:hAnsi="Times New Roman" w:cs="Times New Roman"/>
                <w:b w:val="0"/>
              </w:rPr>
              <w:t xml:space="preserve">7.2 </w:t>
            </w:r>
            <w:r>
              <w:rPr>
                <w:rStyle w:val="76"/>
                <w:rFonts w:ascii="Times New Roman" w:hAnsi="Times New Roman" w:cs="Times New Roman"/>
                <w:b/>
              </w:rPr>
              <w:t>项目的预期目标</w:t>
            </w:r>
          </w:p>
          <w:p>
            <w:pPr>
              <w:spacing w:line="400" w:lineRule="exact"/>
              <w:ind w:firstLine="480" w:firstLineChars="200"/>
              <w:jc w:val="both"/>
              <w:rPr>
                <w:rStyle w:val="77"/>
                <w:rFonts w:ascii="Times New Roman" w:hAnsi="Times New Roman" w:cs="Times New Roman"/>
              </w:rPr>
            </w:pPr>
            <w:r>
              <w:rPr>
                <w:rStyle w:val="78"/>
                <w:rFonts w:ascii="Times New Roman" w:hAnsi="Times New Roman" w:cs="Times New Roman"/>
              </w:rPr>
              <w:t>(1)</w:t>
            </w:r>
            <w:r>
              <w:rPr>
                <w:rStyle w:val="77"/>
                <w:rFonts w:ascii="Times New Roman" w:hAnsi="Times New Roman" w:cs="Times New Roman"/>
              </w:rPr>
              <w:t>解决局部复杂空间环境下无人机自主路径规划和实时避障</w:t>
            </w:r>
            <w:r>
              <w:rPr>
                <w:rStyle w:val="77"/>
                <w:rFonts w:ascii="Times New Roman" w:hAnsi="Times New Roman" w:cs="Times New Roman"/>
                <w:color w:val="000000" w:themeColor="text1"/>
                <w14:textFill>
                  <w14:solidFill>
                    <w14:schemeClr w14:val="tx1"/>
                  </w14:solidFill>
                </w14:textFill>
              </w:rPr>
              <w:t>、震后变电站场景的单幅无人机图像复原与增强、无人机航拍图像的柱状设备检测和裂纹识别等</w:t>
            </w:r>
            <w:r>
              <w:rPr>
                <w:rStyle w:val="77"/>
                <w:rFonts w:ascii="Times New Roman" w:hAnsi="Times New Roman" w:cs="Times New Roman"/>
              </w:rPr>
              <w:t>问题，推动变电站</w:t>
            </w:r>
            <w:r>
              <w:rPr>
                <w:rStyle w:val="77"/>
                <w:rFonts w:hint="eastAsia" w:ascii="Times New Roman" w:hAnsi="Times New Roman" w:cs="Times New Roman"/>
              </w:rPr>
              <w:t>震后损毁检测评估</w:t>
            </w:r>
            <w:r>
              <w:rPr>
                <w:rStyle w:val="77"/>
                <w:rFonts w:ascii="Times New Roman" w:hAnsi="Times New Roman" w:cs="Times New Roman"/>
              </w:rPr>
              <w:t>技术的进步，达到国内领先水平</w:t>
            </w:r>
            <w:r>
              <w:rPr>
                <w:rStyle w:val="77"/>
                <w:rFonts w:hint="eastAsia" w:ascii="Times New Roman" w:hAnsi="Times New Roman" w:cs="Times New Roman"/>
              </w:rPr>
              <w:t>，</w:t>
            </w:r>
            <w:r>
              <w:rPr>
                <w:rStyle w:val="77"/>
                <w:rFonts w:ascii="Times New Roman" w:hAnsi="Times New Roman" w:cs="Times New Roman"/>
              </w:rPr>
              <w:t>为震后变电站的损智能化检测提供解决方案，助力震后电力系统的抢险救灾；</w:t>
            </w:r>
          </w:p>
          <w:p>
            <w:pPr>
              <w:spacing w:line="400" w:lineRule="exact"/>
              <w:ind w:firstLine="480" w:firstLineChars="200"/>
              <w:rPr>
                <w:rFonts w:ascii="Times New Roman" w:hAnsi="Times New Roman" w:cs="Times New Roman"/>
              </w:rPr>
            </w:pPr>
            <w:r>
              <w:rPr>
                <w:rFonts w:ascii="Times New Roman" w:hAnsi="Times New Roman" w:cs="Times New Roman"/>
              </w:rPr>
              <w:t>(2)发表高水平论文3篇；</w:t>
            </w:r>
          </w:p>
          <w:p>
            <w:pPr>
              <w:spacing w:line="400" w:lineRule="exact"/>
              <w:ind w:firstLine="480" w:firstLineChars="200"/>
              <w:rPr>
                <w:rFonts w:cs="Times New Roman"/>
                <w:color w:val="000000"/>
                <w:sz w:val="20"/>
                <w:szCs w:val="20"/>
              </w:rPr>
            </w:pPr>
            <w:r>
              <w:rPr>
                <w:rStyle w:val="78"/>
                <w:rFonts w:ascii="Times New Roman" w:hAnsi="Times New Roman" w:cs="Times New Roman"/>
              </w:rPr>
              <w:t>(3)</w:t>
            </w:r>
            <w:r>
              <w:rPr>
                <w:rStyle w:val="79"/>
                <w:rFonts w:ascii="Times New Roman" w:hAnsi="Times New Roman" w:cs="Times New Roman"/>
              </w:rPr>
              <w:t>培养</w:t>
            </w:r>
            <w:r>
              <w:rPr>
                <w:rStyle w:val="77"/>
                <w:rFonts w:ascii="Times New Roman" w:hAnsi="Times New Roman" w:cs="Times New Roman"/>
              </w:rPr>
              <w:t>研究生</w:t>
            </w:r>
            <w:r>
              <w:rPr>
                <w:rStyle w:val="78"/>
                <w:rFonts w:ascii="Times New Roman" w:hAnsi="Times New Roman" w:cs="Times New Roman"/>
              </w:rPr>
              <w:t>5</w:t>
            </w:r>
            <w:r>
              <w:rPr>
                <w:rStyle w:val="79"/>
                <w:rFonts w:ascii="Times New Roman" w:hAnsi="Times New Roman" w:cs="Times New Roman"/>
              </w:rPr>
              <w:t>名</w:t>
            </w:r>
            <w:r>
              <w:rPr>
                <w:rStyle w:val="77"/>
                <w:rFonts w:ascii="Times New Roman" w:hAnsi="Times New Roman" w:cs="Times New Roman"/>
              </w:rPr>
              <w:t>。</w:t>
            </w:r>
          </w:p>
        </w:tc>
      </w:tr>
    </w:tbl>
    <w:p>
      <w:pPr>
        <w:autoSpaceDE w:val="0"/>
        <w:autoSpaceDN w:val="0"/>
        <w:spacing w:line="360" w:lineRule="auto"/>
        <w:jc w:val="both"/>
        <w:rPr>
          <w:rFonts w:ascii="Times New Roman" w:hAnsi="Times New Roman"/>
          <w:b/>
          <w:kern w:val="2"/>
          <w:sz w:val="28"/>
          <w:szCs w:val="28"/>
        </w:rPr>
      </w:pPr>
      <w:r>
        <w:rPr>
          <w:rFonts w:ascii="Times New Roman" w:hAnsi="Times New Roman" w:cs="Times New Roman"/>
          <w:kern w:val="2"/>
          <w:sz w:val="21"/>
          <w:szCs w:val="21"/>
        </w:rPr>
        <w:br w:type="page"/>
      </w:r>
      <w:r>
        <w:rPr>
          <w:rFonts w:hint="eastAsia"/>
          <w:b/>
          <w:kern w:val="2"/>
          <w:sz w:val="28"/>
          <w:szCs w:val="28"/>
        </w:rPr>
        <w:t>八、经费概算</w:t>
      </w:r>
      <w:r>
        <w:rPr>
          <w:rFonts w:hint="eastAsia"/>
          <w:spacing w:val="15"/>
        </w:rPr>
        <w:t>（按申报项目目标任务需要据实填报。）</w:t>
      </w:r>
    </w:p>
    <w:p>
      <w:pPr>
        <w:jc w:val="center"/>
        <w:rPr>
          <w:b/>
          <w:sz w:val="27"/>
          <w:szCs w:val="27"/>
        </w:rPr>
      </w:pPr>
      <w:r>
        <w:rPr>
          <w:rFonts w:hint="eastAsia"/>
          <w:b/>
          <w:sz w:val="27"/>
          <w:szCs w:val="27"/>
        </w:rPr>
        <w:t>经费概算总表</w:t>
      </w:r>
    </w:p>
    <w:p>
      <w:pPr>
        <w:ind w:right="120"/>
        <w:jc w:val="right"/>
      </w:pPr>
      <w:r>
        <w:rPr>
          <w:rFonts w:hint="eastAsia"/>
        </w:rPr>
        <w:t>（单位：万元）</w:t>
      </w:r>
    </w:p>
    <w:p>
      <w:pPr>
        <w:widowControl w:val="0"/>
        <w:numPr>
          <w:ilvl w:val="0"/>
          <w:numId w:val="8"/>
        </w:numPr>
        <w:ind w:right="480"/>
        <w:jc w:val="both"/>
        <w:rPr>
          <w:b/>
        </w:rPr>
      </w:pPr>
      <w:r>
        <w:rPr>
          <w:rFonts w:hint="eastAsia"/>
          <w:b/>
        </w:rPr>
        <w:t>经费来源</w:t>
      </w:r>
    </w:p>
    <w:p>
      <w:pPr>
        <w:ind w:right="480"/>
        <w:rPr>
          <w:b/>
        </w:rPr>
      </w:pPr>
      <w:r>
        <w:rPr>
          <w:rFonts w:hint="eastAsia"/>
          <w:b/>
        </w:rPr>
        <w:t xml:space="preserve"> </w:t>
      </w:r>
    </w:p>
    <w:tbl>
      <w:tblPr>
        <w:tblStyle w:val="16"/>
        <w:tblW w:w="7560" w:type="dxa"/>
        <w:tblInd w:w="648" w:type="dxa"/>
        <w:tblLayout w:type="fixed"/>
        <w:tblCellMar>
          <w:top w:w="0" w:type="dxa"/>
          <w:left w:w="108" w:type="dxa"/>
          <w:bottom w:w="0" w:type="dxa"/>
          <w:right w:w="108" w:type="dxa"/>
        </w:tblCellMar>
      </w:tblPr>
      <w:tblGrid>
        <w:gridCol w:w="3240"/>
        <w:gridCol w:w="2340"/>
        <w:gridCol w:w="1980"/>
      </w:tblGrid>
      <w:tr>
        <w:tblPrEx>
          <w:tblCellMar>
            <w:top w:w="0" w:type="dxa"/>
            <w:left w:w="108" w:type="dxa"/>
            <w:bottom w:w="0" w:type="dxa"/>
            <w:right w:w="108" w:type="dxa"/>
          </w:tblCellMar>
        </w:tblPrEx>
        <w:trPr>
          <w:trHeight w:val="90" w:hRule="atLeast"/>
        </w:trPr>
        <w:tc>
          <w:tcPr>
            <w:tcW w:w="3240" w:type="dxa"/>
            <w:tcBorders>
              <w:top w:val="single" w:color="auto" w:sz="4" w:space="0"/>
              <w:left w:val="single" w:color="auto" w:sz="4" w:space="0"/>
              <w:bottom w:val="single" w:color="000000" w:sz="4" w:space="0"/>
              <w:right w:val="single" w:color="000000" w:sz="4" w:space="0"/>
            </w:tcBorders>
            <w:shd w:val="clear" w:color="auto" w:fill="auto"/>
            <w:vAlign w:val="center"/>
          </w:tcPr>
          <w:p>
            <w:pPr>
              <w:jc w:val="center"/>
            </w:pPr>
            <w:r>
              <w:rPr>
                <w:rFonts w:hint="eastAsia"/>
              </w:rPr>
              <w:t>申请项目专项经费</w:t>
            </w:r>
          </w:p>
        </w:tc>
        <w:tc>
          <w:tcPr>
            <w:tcW w:w="2340" w:type="dxa"/>
            <w:tcBorders>
              <w:top w:val="single" w:color="auto" w:sz="4" w:space="0"/>
              <w:left w:val="nil"/>
              <w:bottom w:val="single" w:color="000000" w:sz="4" w:space="0"/>
              <w:right w:val="single" w:color="000000" w:sz="4" w:space="0"/>
            </w:tcBorders>
            <w:shd w:val="clear" w:color="auto" w:fill="auto"/>
            <w:vAlign w:val="center"/>
          </w:tcPr>
          <w:p>
            <w:pPr>
              <w:jc w:val="center"/>
            </w:pPr>
            <w:r>
              <w:rPr>
                <w:rFonts w:hint="eastAsia"/>
              </w:rPr>
              <w:t>自筹经费</w:t>
            </w:r>
          </w:p>
        </w:tc>
        <w:tc>
          <w:tcPr>
            <w:tcW w:w="1980" w:type="dxa"/>
            <w:tcBorders>
              <w:top w:val="single" w:color="auto" w:sz="4" w:space="0"/>
              <w:left w:val="nil"/>
              <w:bottom w:val="single" w:color="000000" w:sz="4" w:space="0"/>
              <w:right w:val="single" w:color="000000" w:sz="4" w:space="0"/>
            </w:tcBorders>
            <w:shd w:val="clear" w:color="auto" w:fill="auto"/>
            <w:vAlign w:val="center"/>
          </w:tcPr>
          <w:p>
            <w:pPr>
              <w:jc w:val="center"/>
            </w:pPr>
            <w:r>
              <w:rPr>
                <w:rFonts w:hint="eastAsia"/>
              </w:rPr>
              <w:t>项目总经费</w:t>
            </w:r>
          </w:p>
        </w:tc>
      </w:tr>
      <w:tr>
        <w:tblPrEx>
          <w:tblCellMar>
            <w:top w:w="0" w:type="dxa"/>
            <w:left w:w="108" w:type="dxa"/>
            <w:bottom w:w="0" w:type="dxa"/>
            <w:right w:w="108" w:type="dxa"/>
          </w:tblCellMar>
        </w:tblPrEx>
        <w:trPr>
          <w:trHeight w:val="435" w:hRule="atLeast"/>
        </w:trPr>
        <w:tc>
          <w:tcPr>
            <w:tcW w:w="3240" w:type="dxa"/>
            <w:tcBorders>
              <w:top w:val="single" w:color="auto" w:sz="4" w:space="0"/>
              <w:left w:val="single" w:color="auto" w:sz="4" w:space="0"/>
              <w:bottom w:val="single" w:color="auto" w:sz="4" w:space="0"/>
              <w:right w:val="single" w:color="000000" w:sz="4" w:space="0"/>
            </w:tcBorders>
            <w:shd w:val="clear" w:color="auto" w:fill="auto"/>
            <w:vAlign w:val="center"/>
          </w:tcPr>
          <w:p>
            <w:pPr>
              <w:jc w:val="center"/>
            </w:pPr>
            <w:r>
              <w:rPr>
                <w:rFonts w:hint="eastAsia"/>
              </w:rPr>
              <w:t>2</w:t>
            </w:r>
            <w:r>
              <w:t>0.00</w:t>
            </w:r>
          </w:p>
        </w:tc>
        <w:tc>
          <w:tcPr>
            <w:tcW w:w="2340" w:type="dxa"/>
            <w:tcBorders>
              <w:top w:val="single" w:color="auto" w:sz="4" w:space="0"/>
              <w:left w:val="nil"/>
              <w:bottom w:val="single" w:color="auto" w:sz="4" w:space="0"/>
              <w:right w:val="single" w:color="000000" w:sz="4" w:space="0"/>
            </w:tcBorders>
            <w:shd w:val="clear" w:color="auto" w:fill="auto"/>
            <w:vAlign w:val="center"/>
          </w:tcPr>
          <w:p>
            <w:pPr>
              <w:jc w:val="center"/>
            </w:pPr>
            <w:r>
              <w:rPr>
                <w:rFonts w:hint="eastAsia"/>
              </w:rPr>
              <w:t>0</w:t>
            </w:r>
            <w:r>
              <w:t>.00</w:t>
            </w:r>
          </w:p>
        </w:tc>
        <w:tc>
          <w:tcPr>
            <w:tcW w:w="1980" w:type="dxa"/>
            <w:tcBorders>
              <w:top w:val="single" w:color="auto" w:sz="4" w:space="0"/>
              <w:left w:val="nil"/>
              <w:bottom w:val="single" w:color="auto" w:sz="4" w:space="0"/>
              <w:right w:val="single" w:color="000000" w:sz="4" w:space="0"/>
            </w:tcBorders>
            <w:shd w:val="clear" w:color="auto" w:fill="auto"/>
            <w:vAlign w:val="center"/>
          </w:tcPr>
          <w:p>
            <w:pPr>
              <w:jc w:val="center"/>
            </w:pPr>
            <w:r>
              <w:rPr>
                <w:rFonts w:hint="eastAsia"/>
              </w:rPr>
              <w:t>2</w:t>
            </w:r>
            <w:r>
              <w:t>0.00</w:t>
            </w:r>
          </w:p>
        </w:tc>
      </w:tr>
    </w:tbl>
    <w:p>
      <w:r>
        <w:rPr>
          <w:rFonts w:hint="eastAsia"/>
        </w:rPr>
        <w:t xml:space="preserve"> </w:t>
      </w:r>
    </w:p>
    <w:p>
      <w:pPr>
        <w:widowControl w:val="0"/>
        <w:numPr>
          <w:ilvl w:val="0"/>
          <w:numId w:val="8"/>
        </w:numPr>
        <w:jc w:val="both"/>
        <w:rPr>
          <w:b/>
        </w:rPr>
      </w:pPr>
      <w:r>
        <w:rPr>
          <w:rFonts w:hint="eastAsia"/>
          <w:b/>
        </w:rPr>
        <w:t>经费支出</w:t>
      </w:r>
    </w:p>
    <w:p>
      <w:pPr>
        <w:rPr>
          <w:b/>
        </w:rPr>
      </w:pPr>
      <w:r>
        <w:rPr>
          <w:rFonts w:hint="eastAsia"/>
          <w:b/>
        </w:rPr>
        <w:t xml:space="preserve"> </w:t>
      </w:r>
    </w:p>
    <w:tbl>
      <w:tblPr>
        <w:tblStyle w:val="16"/>
        <w:tblW w:w="7560" w:type="dxa"/>
        <w:tblInd w:w="648" w:type="dxa"/>
        <w:tblLayout w:type="fixed"/>
        <w:tblCellMar>
          <w:top w:w="0" w:type="dxa"/>
          <w:left w:w="108" w:type="dxa"/>
          <w:bottom w:w="0" w:type="dxa"/>
          <w:right w:w="108" w:type="dxa"/>
        </w:tblCellMar>
      </w:tblPr>
      <w:tblGrid>
        <w:gridCol w:w="4680"/>
        <w:gridCol w:w="2880"/>
      </w:tblGrid>
      <w:tr>
        <w:tblPrEx>
          <w:tblCellMar>
            <w:top w:w="0" w:type="dxa"/>
            <w:left w:w="108" w:type="dxa"/>
            <w:bottom w:w="0" w:type="dxa"/>
            <w:right w:w="108" w:type="dxa"/>
          </w:tblCellMar>
        </w:tblPrEx>
        <w:trPr>
          <w:trHeight w:val="312" w:hRule="atLeast"/>
        </w:trPr>
        <w:tc>
          <w:tcPr>
            <w:tcW w:w="46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rPr>
            </w:pPr>
            <w:r>
              <w:rPr>
                <w:rFonts w:hint="eastAsia"/>
                <w:b/>
              </w:rPr>
              <w:t>概算科目名称</w:t>
            </w:r>
          </w:p>
        </w:tc>
        <w:tc>
          <w:tcPr>
            <w:tcW w:w="2880" w:type="dxa"/>
            <w:vMerge w:val="restart"/>
            <w:tcBorders>
              <w:top w:val="single" w:color="000000" w:sz="4" w:space="0"/>
              <w:left w:val="nil"/>
              <w:bottom w:val="single" w:color="000000" w:sz="4" w:space="0"/>
              <w:right w:val="single" w:color="000000" w:sz="4" w:space="0"/>
            </w:tcBorders>
            <w:shd w:val="clear" w:color="auto" w:fill="auto"/>
            <w:vAlign w:val="center"/>
          </w:tcPr>
          <w:p>
            <w:pPr>
              <w:jc w:val="center"/>
              <w:rPr>
                <w:b/>
              </w:rPr>
            </w:pPr>
            <w:r>
              <w:rPr>
                <w:rFonts w:hint="eastAsia"/>
                <w:b/>
              </w:rPr>
              <w:t>项目专项经费</w:t>
            </w:r>
          </w:p>
        </w:tc>
      </w:tr>
      <w:tr>
        <w:tblPrEx>
          <w:tblCellMar>
            <w:top w:w="0" w:type="dxa"/>
            <w:left w:w="108" w:type="dxa"/>
            <w:bottom w:w="0" w:type="dxa"/>
            <w:right w:w="108" w:type="dxa"/>
          </w:tblCellMar>
        </w:tblPrEx>
        <w:trPr>
          <w:trHeight w:val="312" w:hRule="atLeast"/>
        </w:trPr>
        <w:tc>
          <w:tcPr>
            <w:tcW w:w="46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cs="Times New Roman"/>
                <w:sz w:val="20"/>
                <w:szCs w:val="20"/>
              </w:rPr>
            </w:pPr>
          </w:p>
        </w:tc>
        <w:tc>
          <w:tcPr>
            <w:tcW w:w="2880" w:type="dxa"/>
            <w:vMerge w:val="continue"/>
            <w:tcBorders>
              <w:top w:val="single" w:color="000000" w:sz="4" w:space="0"/>
              <w:left w:val="nil"/>
              <w:bottom w:val="single" w:color="000000" w:sz="4" w:space="0"/>
              <w:right w:val="single" w:color="000000" w:sz="4" w:space="0"/>
            </w:tcBorders>
            <w:shd w:val="clear" w:color="auto" w:fill="auto"/>
            <w:vAlign w:val="center"/>
          </w:tcPr>
          <w:p>
            <w:pPr>
              <w:rPr>
                <w:rFonts w:ascii="Times New Roman" w:hAnsi="Times New Roman" w:cs="Times New Roman"/>
                <w:sz w:val="20"/>
                <w:szCs w:val="20"/>
              </w:rPr>
            </w:pPr>
          </w:p>
        </w:tc>
      </w:tr>
      <w:tr>
        <w:tblPrEx>
          <w:tblCellMar>
            <w:top w:w="0" w:type="dxa"/>
            <w:left w:w="108" w:type="dxa"/>
            <w:bottom w:w="0" w:type="dxa"/>
            <w:right w:w="108" w:type="dxa"/>
          </w:tblCellMar>
        </w:tblPrEx>
        <w:trPr>
          <w:trHeight w:val="110" w:hRule="atLeast"/>
        </w:trPr>
        <w:tc>
          <w:tcPr>
            <w:tcW w:w="4680" w:type="dxa"/>
            <w:tcBorders>
              <w:top w:val="single" w:color="000000" w:sz="4" w:space="0"/>
              <w:left w:val="single" w:color="000000" w:sz="4" w:space="0"/>
              <w:bottom w:val="single" w:color="auto" w:sz="4" w:space="0"/>
              <w:right w:val="single" w:color="000000" w:sz="4" w:space="0"/>
            </w:tcBorders>
            <w:shd w:val="clear" w:color="auto" w:fill="auto"/>
            <w:vAlign w:val="center"/>
          </w:tcPr>
          <w:p>
            <w:r>
              <w:rPr>
                <w:rFonts w:hint="eastAsia"/>
              </w:rPr>
              <w:t>（一）间接费用</w:t>
            </w:r>
          </w:p>
        </w:tc>
        <w:tc>
          <w:tcPr>
            <w:tcW w:w="2880" w:type="dxa"/>
            <w:tcBorders>
              <w:top w:val="single" w:color="000000" w:sz="4" w:space="0"/>
              <w:left w:val="nil"/>
              <w:bottom w:val="single" w:color="auto" w:sz="4" w:space="0"/>
              <w:right w:val="single" w:color="000000" w:sz="4" w:space="0"/>
            </w:tcBorders>
            <w:shd w:val="clear" w:color="auto" w:fill="auto"/>
            <w:vAlign w:val="center"/>
          </w:tcPr>
          <w:p>
            <w:pPr>
              <w:jc w:val="center"/>
            </w:pPr>
            <w:r>
              <w:t>2.30</w:t>
            </w:r>
          </w:p>
        </w:tc>
      </w:tr>
      <w:tr>
        <w:tblPrEx>
          <w:tblCellMar>
            <w:top w:w="0" w:type="dxa"/>
            <w:left w:w="108" w:type="dxa"/>
            <w:bottom w:w="0" w:type="dxa"/>
            <w:right w:w="108" w:type="dxa"/>
          </w:tblCellMar>
        </w:tblPrEx>
        <w:trPr>
          <w:trHeight w:val="140" w:hRule="atLeast"/>
        </w:trPr>
        <w:tc>
          <w:tcPr>
            <w:tcW w:w="4680" w:type="dxa"/>
            <w:tcBorders>
              <w:top w:val="single" w:color="auto" w:sz="4" w:space="0"/>
              <w:left w:val="single" w:color="000000" w:sz="4" w:space="0"/>
              <w:bottom w:val="single" w:color="auto" w:sz="4" w:space="0"/>
              <w:right w:val="single" w:color="000000" w:sz="4" w:space="0"/>
            </w:tcBorders>
            <w:shd w:val="clear" w:color="auto" w:fill="auto"/>
            <w:vAlign w:val="center"/>
          </w:tcPr>
          <w:p>
            <w:r>
              <w:rPr>
                <w:rFonts w:hint="eastAsia"/>
              </w:rPr>
              <w:t>其中：绩效支出</w:t>
            </w:r>
          </w:p>
        </w:tc>
        <w:tc>
          <w:tcPr>
            <w:tcW w:w="2880" w:type="dxa"/>
            <w:tcBorders>
              <w:top w:val="single" w:color="auto" w:sz="4" w:space="0"/>
              <w:left w:val="nil"/>
              <w:bottom w:val="single" w:color="auto" w:sz="4" w:space="0"/>
              <w:right w:val="single" w:color="000000" w:sz="4" w:space="0"/>
            </w:tcBorders>
            <w:shd w:val="clear" w:color="auto" w:fill="auto"/>
            <w:vAlign w:val="center"/>
          </w:tcPr>
          <w:p>
            <w:pPr>
              <w:jc w:val="center"/>
            </w:pPr>
            <w:r>
              <w:rPr>
                <w:rFonts w:hint="eastAsia"/>
              </w:rPr>
              <w:t>0</w:t>
            </w:r>
            <w:r>
              <w:t>.00</w:t>
            </w:r>
          </w:p>
        </w:tc>
      </w:tr>
      <w:tr>
        <w:tblPrEx>
          <w:tblCellMar>
            <w:top w:w="0" w:type="dxa"/>
            <w:left w:w="108" w:type="dxa"/>
            <w:bottom w:w="0" w:type="dxa"/>
            <w:right w:w="108" w:type="dxa"/>
          </w:tblCellMar>
        </w:tblPrEx>
        <w:trPr>
          <w:trHeight w:val="170" w:hRule="atLeast"/>
        </w:trPr>
        <w:tc>
          <w:tcPr>
            <w:tcW w:w="4680" w:type="dxa"/>
            <w:tcBorders>
              <w:top w:val="single" w:color="auto" w:sz="4" w:space="0"/>
              <w:left w:val="single" w:color="000000" w:sz="4" w:space="0"/>
              <w:bottom w:val="single" w:color="000000" w:sz="4" w:space="0"/>
              <w:right w:val="single" w:color="000000" w:sz="4" w:space="0"/>
            </w:tcBorders>
            <w:shd w:val="clear" w:color="auto" w:fill="auto"/>
            <w:vAlign w:val="center"/>
          </w:tcPr>
          <w:p>
            <w:r>
              <w:rPr>
                <w:rFonts w:hint="eastAsia"/>
              </w:rPr>
              <w:t>（二）直接费用</w:t>
            </w:r>
          </w:p>
        </w:tc>
        <w:tc>
          <w:tcPr>
            <w:tcW w:w="2880" w:type="dxa"/>
            <w:tcBorders>
              <w:top w:val="single" w:color="auto" w:sz="4" w:space="0"/>
              <w:left w:val="nil"/>
              <w:bottom w:val="single" w:color="000000" w:sz="4" w:space="0"/>
              <w:right w:val="single" w:color="000000" w:sz="4" w:space="0"/>
            </w:tcBorders>
            <w:shd w:val="clear" w:color="auto" w:fill="auto"/>
            <w:vAlign w:val="center"/>
          </w:tcPr>
          <w:p>
            <w:pPr>
              <w:jc w:val="center"/>
            </w:pPr>
            <w:r>
              <w:rPr>
                <w:rFonts w:hint="eastAsia"/>
              </w:rPr>
              <w:t>1</w:t>
            </w:r>
            <w:r>
              <w:t>7.70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1、设备费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t>2.70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（1）购置设备费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t>2.70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（2）设备试制、改造、租赁费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rPr>
                <w:rFonts w:hint="eastAsia"/>
              </w:rPr>
              <w:t>0</w:t>
            </w:r>
            <w:r>
              <w:t>.00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2、材料费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t>4.00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3、测试化验加工费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rPr>
                <w:rFonts w:hint="eastAsia"/>
              </w:rPr>
              <w:t>0</w:t>
            </w:r>
            <w:r>
              <w:t>.00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4、燃料动力费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t>0.00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5、差旅费/会议费/国际合作与交流费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t>2.00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6、出版/文献/信息传播/知识产权事务费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t>2.00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7、劳务费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t>6.00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8、专家咨询费</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t>1.00</w:t>
            </w:r>
          </w:p>
        </w:tc>
      </w:tr>
      <w:tr>
        <w:tblPrEx>
          <w:tblCellMar>
            <w:top w:w="0" w:type="dxa"/>
            <w:left w:w="108" w:type="dxa"/>
            <w:bottom w:w="0" w:type="dxa"/>
            <w:right w:w="108" w:type="dxa"/>
          </w:tblCellMar>
        </w:tblPrEx>
        <w:trPr>
          <w:trHeight w:val="435" w:hRule="atLeast"/>
        </w:trPr>
        <w:tc>
          <w:tcPr>
            <w:tcW w:w="468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rPr>
              <w:t>9、其他费用</w:t>
            </w:r>
          </w:p>
        </w:tc>
        <w:tc>
          <w:tcPr>
            <w:tcW w:w="2880" w:type="dxa"/>
            <w:tcBorders>
              <w:top w:val="single" w:color="000000" w:sz="4" w:space="0"/>
              <w:left w:val="nil"/>
              <w:bottom w:val="single" w:color="000000" w:sz="4" w:space="0"/>
              <w:right w:val="single" w:color="000000" w:sz="4" w:space="0"/>
            </w:tcBorders>
            <w:shd w:val="clear" w:color="auto" w:fill="auto"/>
            <w:vAlign w:val="center"/>
          </w:tcPr>
          <w:p>
            <w:pPr>
              <w:jc w:val="center"/>
            </w:pPr>
            <w:r>
              <w:rPr>
                <w:rFonts w:hint="eastAsia"/>
              </w:rPr>
              <w:t>0</w:t>
            </w:r>
            <w:r>
              <w:t>.00</w:t>
            </w:r>
          </w:p>
        </w:tc>
      </w:tr>
    </w:tbl>
    <w:p/>
    <w:p>
      <w:pPr>
        <w:rPr>
          <w:b/>
          <w:bCs/>
          <w:sz w:val="21"/>
          <w:szCs w:val="21"/>
        </w:rPr>
      </w:pPr>
      <w:r>
        <w:rPr>
          <w:b/>
          <w:bCs/>
          <w:sz w:val="21"/>
          <w:szCs w:val="21"/>
        </w:rPr>
        <w:br w:type="page"/>
      </w:r>
    </w:p>
    <w:p>
      <w:pPr>
        <w:rPr>
          <w:b/>
          <w:bCs/>
          <w:sz w:val="21"/>
          <w:szCs w:val="21"/>
        </w:rPr>
      </w:pPr>
    </w:p>
    <w:tbl>
      <w:tblPr>
        <w:tblStyle w:val="16"/>
        <w:tblW w:w="8322" w:type="dxa"/>
        <w:jc w:val="center"/>
        <w:tblLayout w:type="fixed"/>
        <w:tblCellMar>
          <w:top w:w="0" w:type="dxa"/>
          <w:left w:w="0" w:type="dxa"/>
          <w:bottom w:w="0" w:type="dxa"/>
          <w:right w:w="0" w:type="dxa"/>
        </w:tblCellMar>
      </w:tblPr>
      <w:tblGrid>
        <w:gridCol w:w="451"/>
        <w:gridCol w:w="164"/>
        <w:gridCol w:w="135"/>
        <w:gridCol w:w="689"/>
        <w:gridCol w:w="75"/>
        <w:gridCol w:w="502"/>
        <w:gridCol w:w="109"/>
        <w:gridCol w:w="561"/>
        <w:gridCol w:w="571"/>
        <w:gridCol w:w="527"/>
        <w:gridCol w:w="21"/>
        <w:gridCol w:w="31"/>
        <w:gridCol w:w="642"/>
        <w:gridCol w:w="685"/>
        <w:gridCol w:w="799"/>
        <w:gridCol w:w="21"/>
        <w:gridCol w:w="307"/>
        <w:gridCol w:w="35"/>
        <w:gridCol w:w="356"/>
        <w:gridCol w:w="179"/>
        <w:gridCol w:w="293"/>
        <w:gridCol w:w="68"/>
        <w:gridCol w:w="175"/>
        <w:gridCol w:w="504"/>
        <w:gridCol w:w="373"/>
        <w:gridCol w:w="21"/>
        <w:gridCol w:w="28"/>
      </w:tblGrid>
      <w:tr>
        <w:tblPrEx>
          <w:tblCellMar>
            <w:top w:w="0" w:type="dxa"/>
            <w:left w:w="0" w:type="dxa"/>
            <w:bottom w:w="0" w:type="dxa"/>
            <w:right w:w="0" w:type="dxa"/>
          </w:tblCellMar>
        </w:tblPrEx>
        <w:trPr>
          <w:gridAfter w:val="1"/>
          <w:wAfter w:w="28" w:type="dxa"/>
          <w:jc w:val="center"/>
        </w:trPr>
        <w:tc>
          <w:tcPr>
            <w:tcW w:w="8294" w:type="dxa"/>
            <w:gridSpan w:val="26"/>
            <w:tcBorders>
              <w:top w:val="single" w:color="000000" w:sz="6" w:space="0"/>
              <w:left w:val="single" w:color="000000" w:sz="6" w:space="0"/>
              <w:bottom w:val="single" w:color="000000" w:sz="6" w:space="0"/>
              <w:right w:val="single" w:color="000000" w:sz="6" w:space="0"/>
            </w:tcBorders>
            <w:vAlign w:val="center"/>
          </w:tcPr>
          <w:p>
            <w:pPr>
              <w:pStyle w:val="33"/>
              <w:wordWrap w:val="0"/>
              <w:rPr>
                <w:rFonts w:cs="Times New Roman"/>
                <w:b/>
                <w:bCs/>
                <w:spacing w:val="15"/>
              </w:rPr>
            </w:pPr>
            <w:r>
              <w:rPr>
                <w:rFonts w:hint="eastAsia" w:cs="Times New Roman"/>
                <w:b/>
                <w:bCs/>
                <w:spacing w:val="15"/>
              </w:rPr>
              <w:t>九、项目申报单位、合作单位及主要研究人员情况</w:t>
            </w:r>
          </w:p>
        </w:tc>
      </w:tr>
      <w:tr>
        <w:tblPrEx>
          <w:tblCellMar>
            <w:top w:w="0" w:type="dxa"/>
            <w:left w:w="0" w:type="dxa"/>
            <w:bottom w:w="0" w:type="dxa"/>
            <w:right w:w="0" w:type="dxa"/>
          </w:tblCellMar>
        </w:tblPrEx>
        <w:trPr>
          <w:gridAfter w:val="1"/>
          <w:wAfter w:w="28" w:type="dxa"/>
          <w:jc w:val="center"/>
        </w:trPr>
        <w:tc>
          <w:tcPr>
            <w:tcW w:w="1439" w:type="dxa"/>
            <w:gridSpan w:val="4"/>
            <w:tcBorders>
              <w:top w:val="single" w:color="000000" w:sz="6" w:space="0"/>
              <w:left w:val="single" w:color="000000" w:sz="6" w:space="0"/>
              <w:bottom w:val="single" w:color="000000" w:sz="6" w:space="0"/>
              <w:right w:val="single" w:color="000000" w:sz="6" w:space="0"/>
            </w:tcBorders>
          </w:tcPr>
          <w:p>
            <w:pPr>
              <w:rPr>
                <w:rFonts w:cs="Times New Roman"/>
                <w:spacing w:val="15"/>
                <w:sz w:val="21"/>
                <w:szCs w:val="21"/>
              </w:rPr>
            </w:pPr>
            <w:r>
              <w:rPr>
                <w:rFonts w:hint="eastAsia" w:ascii="Times New Roman" w:hAnsi="Times New Roman" w:cs="Times New Roman"/>
                <w:sz w:val="20"/>
                <w:szCs w:val="20"/>
              </w:rPr>
              <w:t>项目名称</w:t>
            </w:r>
          </w:p>
        </w:tc>
        <w:tc>
          <w:tcPr>
            <w:tcW w:w="6855" w:type="dxa"/>
            <w:gridSpan w:val="22"/>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szCs w:val="28"/>
              </w:rPr>
              <w:t>变电站震害损毁智能检测与评估关键技术研究</w:t>
            </w:r>
          </w:p>
        </w:tc>
      </w:tr>
      <w:tr>
        <w:tblPrEx>
          <w:tblCellMar>
            <w:top w:w="0" w:type="dxa"/>
            <w:left w:w="0" w:type="dxa"/>
            <w:bottom w:w="0" w:type="dxa"/>
            <w:right w:w="0" w:type="dxa"/>
          </w:tblCellMar>
        </w:tblPrEx>
        <w:trPr>
          <w:gridAfter w:val="1"/>
          <w:wAfter w:w="28" w:type="dxa"/>
          <w:trHeight w:val="405" w:hRule="atLeast"/>
          <w:jc w:val="center"/>
        </w:trPr>
        <w:tc>
          <w:tcPr>
            <w:tcW w:w="451" w:type="dxa"/>
            <w:vMerge w:val="restart"/>
            <w:tcBorders>
              <w:top w:val="nil"/>
              <w:left w:val="single" w:color="000000" w:sz="6" w:space="0"/>
              <w:bottom w:val="single" w:color="000000" w:sz="6" w:space="0"/>
              <w:right w:val="single" w:color="000000" w:sz="6" w:space="0"/>
            </w:tcBorders>
            <w:vAlign w:val="center"/>
          </w:tcPr>
          <w:p>
            <w:pPr>
              <w:pStyle w:val="27"/>
              <w:jc w:val="center"/>
              <w:rPr>
                <w:rFonts w:cs="Times New Roman"/>
                <w:spacing w:val="15"/>
                <w:sz w:val="21"/>
                <w:szCs w:val="21"/>
              </w:rPr>
            </w:pPr>
            <w:r>
              <w:rPr>
                <w:rFonts w:hint="eastAsia" w:cs="Times New Roman"/>
                <w:spacing w:val="15"/>
                <w:sz w:val="21"/>
                <w:szCs w:val="21"/>
              </w:rPr>
              <w:t>申</w:t>
            </w:r>
            <w:r>
              <w:rPr>
                <w:rFonts w:hint="eastAsia" w:cs="Times New Roman"/>
                <w:spacing w:val="15"/>
                <w:sz w:val="21"/>
                <w:szCs w:val="21"/>
              </w:rPr>
              <w:br w:type="textWrapping"/>
            </w:r>
            <w:r>
              <w:rPr>
                <w:rFonts w:hint="eastAsia" w:cs="Times New Roman"/>
                <w:spacing w:val="15"/>
                <w:sz w:val="21"/>
                <w:szCs w:val="21"/>
              </w:rPr>
              <w:t>申报单位</w:t>
            </w:r>
          </w:p>
        </w:tc>
        <w:tc>
          <w:tcPr>
            <w:tcW w:w="988"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单位名称</w:t>
            </w:r>
          </w:p>
        </w:tc>
        <w:tc>
          <w:tcPr>
            <w:tcW w:w="3039" w:type="dxa"/>
            <w:gridSpan w:val="9"/>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Sun-ExtA" w:hAnsi="Sun-ExtA"/>
                <w:color w:val="000000"/>
                <w:sz w:val="21"/>
                <w:szCs w:val="21"/>
              </w:rPr>
              <w:t>电子科技大学</w:t>
            </w:r>
          </w:p>
        </w:tc>
        <w:tc>
          <w:tcPr>
            <w:tcW w:w="1812" w:type="dxa"/>
            <w:gridSpan w:val="4"/>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社会信用代码</w:t>
            </w:r>
          </w:p>
        </w:tc>
        <w:tc>
          <w:tcPr>
            <w:tcW w:w="2004" w:type="dxa"/>
            <w:gridSpan w:val="9"/>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Sun-ExtA" w:hAnsi="Sun-ExtA"/>
                <w:color w:val="000000"/>
                <w:sz w:val="21"/>
                <w:szCs w:val="21"/>
              </w:rPr>
              <w:t>121000004507193117</w:t>
            </w:r>
          </w:p>
        </w:tc>
      </w:tr>
      <w:tr>
        <w:tblPrEx>
          <w:tblCellMar>
            <w:top w:w="0" w:type="dxa"/>
            <w:left w:w="0" w:type="dxa"/>
            <w:bottom w:w="0" w:type="dxa"/>
            <w:right w:w="0" w:type="dxa"/>
          </w:tblCellMar>
        </w:tblPrEx>
        <w:trPr>
          <w:gridAfter w:val="1"/>
          <w:wAfter w:w="28" w:type="dxa"/>
          <w:trHeight w:val="238"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地址</w:t>
            </w:r>
          </w:p>
        </w:tc>
        <w:tc>
          <w:tcPr>
            <w:tcW w:w="3039" w:type="dxa"/>
            <w:gridSpan w:val="9"/>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Sun-ExtA" w:hAnsi="Sun-ExtA"/>
                <w:color w:val="000000"/>
                <w:sz w:val="21"/>
                <w:szCs w:val="21"/>
              </w:rPr>
              <w:t>成都市高新西区西源大道2006号</w:t>
            </w:r>
          </w:p>
        </w:tc>
        <w:tc>
          <w:tcPr>
            <w:tcW w:w="1847" w:type="dxa"/>
            <w:gridSpan w:val="5"/>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邮编</w:t>
            </w:r>
          </w:p>
        </w:tc>
        <w:tc>
          <w:tcPr>
            <w:tcW w:w="1969" w:type="dxa"/>
            <w:gridSpan w:val="8"/>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Sun-ExtA" w:hAnsi="Sun-ExtA"/>
                <w:color w:val="000000"/>
                <w:sz w:val="21"/>
                <w:szCs w:val="21"/>
              </w:rPr>
              <w:t>610054</w:t>
            </w:r>
          </w:p>
        </w:tc>
      </w:tr>
      <w:tr>
        <w:tblPrEx>
          <w:tblCellMar>
            <w:top w:w="0" w:type="dxa"/>
            <w:left w:w="0" w:type="dxa"/>
            <w:bottom w:w="0" w:type="dxa"/>
            <w:right w:w="0" w:type="dxa"/>
          </w:tblCellMar>
        </w:tblPrEx>
        <w:trPr>
          <w:gridAfter w:val="1"/>
          <w:wAfter w:w="28" w:type="dxa"/>
          <w:trHeight w:val="405"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单位类别</w:t>
            </w:r>
          </w:p>
        </w:tc>
        <w:tc>
          <w:tcPr>
            <w:tcW w:w="6855" w:type="dxa"/>
            <w:gridSpan w:val="22"/>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Sun-ExtA" w:hAnsi="Sun-ExtA"/>
                <w:color w:val="000000"/>
                <w:sz w:val="21"/>
                <w:szCs w:val="21"/>
              </w:rPr>
              <w:t>大专院校</w:t>
            </w:r>
          </w:p>
        </w:tc>
      </w:tr>
      <w:tr>
        <w:tblPrEx>
          <w:tblCellMar>
            <w:top w:w="0" w:type="dxa"/>
            <w:left w:w="0" w:type="dxa"/>
            <w:bottom w:w="0" w:type="dxa"/>
            <w:right w:w="0" w:type="dxa"/>
          </w:tblCellMar>
        </w:tblPrEx>
        <w:trPr>
          <w:gridAfter w:val="1"/>
          <w:wAfter w:w="28" w:type="dxa"/>
          <w:trHeight w:val="332"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负责人</w:t>
            </w:r>
          </w:p>
        </w:tc>
        <w:tc>
          <w:tcPr>
            <w:tcW w:w="3039" w:type="dxa"/>
            <w:gridSpan w:val="9"/>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Sun-ExtA" w:hAnsi="Sun-ExtA"/>
                <w:color w:val="000000"/>
                <w:sz w:val="21"/>
                <w:szCs w:val="21"/>
              </w:rPr>
              <w:t>曾勇</w:t>
            </w:r>
          </w:p>
        </w:tc>
        <w:tc>
          <w:tcPr>
            <w:tcW w:w="1847" w:type="dxa"/>
            <w:gridSpan w:val="5"/>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联系部门</w:t>
            </w:r>
          </w:p>
        </w:tc>
        <w:tc>
          <w:tcPr>
            <w:tcW w:w="1969" w:type="dxa"/>
            <w:gridSpan w:val="8"/>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gridAfter w:val="1"/>
          <w:wAfter w:w="28" w:type="dxa"/>
          <w:trHeight w:val="342"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联系人</w:t>
            </w:r>
          </w:p>
        </w:tc>
        <w:tc>
          <w:tcPr>
            <w:tcW w:w="1247" w:type="dxa"/>
            <w:gridSpan w:val="4"/>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Sun-ExtA" w:hAnsi="Sun-ExtA"/>
                <w:color w:val="000000"/>
                <w:sz w:val="21"/>
                <w:szCs w:val="21"/>
              </w:rPr>
              <w:t>邓盈盈、陈瑶</w:t>
            </w:r>
          </w:p>
        </w:tc>
        <w:tc>
          <w:tcPr>
            <w:tcW w:w="1119"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联系人座机</w:t>
            </w:r>
          </w:p>
        </w:tc>
        <w:tc>
          <w:tcPr>
            <w:tcW w:w="673" w:type="dxa"/>
            <w:gridSpan w:val="2"/>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p>
        </w:tc>
        <w:tc>
          <w:tcPr>
            <w:tcW w:w="1847" w:type="dxa"/>
            <w:gridSpan w:val="5"/>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联系人手机</w:t>
            </w:r>
          </w:p>
        </w:tc>
        <w:tc>
          <w:tcPr>
            <w:tcW w:w="1969" w:type="dxa"/>
            <w:gridSpan w:val="8"/>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Sun-ExtA" w:hAnsi="Sun-ExtA"/>
                <w:color w:val="000000"/>
                <w:sz w:val="21"/>
                <w:szCs w:val="21"/>
              </w:rPr>
              <w:t>13880926991</w:t>
            </w:r>
          </w:p>
        </w:tc>
      </w:tr>
      <w:tr>
        <w:tblPrEx>
          <w:tblCellMar>
            <w:top w:w="0" w:type="dxa"/>
            <w:left w:w="0" w:type="dxa"/>
            <w:bottom w:w="0" w:type="dxa"/>
            <w:right w:w="0" w:type="dxa"/>
          </w:tblCellMar>
        </w:tblPrEx>
        <w:trPr>
          <w:gridAfter w:val="1"/>
          <w:wAfter w:w="28" w:type="dxa"/>
          <w:trHeight w:val="405"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 xml:space="preserve">职工人数 </w:t>
            </w:r>
          </w:p>
        </w:tc>
        <w:tc>
          <w:tcPr>
            <w:tcW w:w="1247" w:type="dxa"/>
            <w:gridSpan w:val="4"/>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Times New Roman" w:hAnsi="Times New Roman" w:cs="Times New Roman"/>
                <w:sz w:val="20"/>
                <w:szCs w:val="20"/>
              </w:rPr>
              <w:t>3800 人</w:t>
            </w:r>
          </w:p>
        </w:tc>
        <w:tc>
          <w:tcPr>
            <w:tcW w:w="1098" w:type="dxa"/>
            <w:gridSpan w:val="2"/>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单位性质</w:t>
            </w:r>
          </w:p>
        </w:tc>
        <w:tc>
          <w:tcPr>
            <w:tcW w:w="694"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p>
        </w:tc>
        <w:tc>
          <w:tcPr>
            <w:tcW w:w="2382" w:type="dxa"/>
            <w:gridSpan w:val="7"/>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推荐单位</w:t>
            </w:r>
          </w:p>
        </w:tc>
        <w:tc>
          <w:tcPr>
            <w:tcW w:w="1434" w:type="dxa"/>
            <w:gridSpan w:val="6"/>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四川省科学技术厅</w:t>
            </w:r>
          </w:p>
        </w:tc>
      </w:tr>
      <w:tr>
        <w:tblPrEx>
          <w:tblCellMar>
            <w:top w:w="0" w:type="dxa"/>
            <w:left w:w="0" w:type="dxa"/>
            <w:bottom w:w="0" w:type="dxa"/>
            <w:right w:w="0" w:type="dxa"/>
          </w:tblCellMar>
        </w:tblPrEx>
        <w:trPr>
          <w:gridAfter w:val="1"/>
          <w:wAfter w:w="28" w:type="dxa"/>
          <w:trHeight w:val="405"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成立时间（限企业填写）</w:t>
            </w:r>
          </w:p>
        </w:tc>
        <w:tc>
          <w:tcPr>
            <w:tcW w:w="3039" w:type="dxa"/>
            <w:gridSpan w:val="9"/>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p>
        </w:tc>
        <w:tc>
          <w:tcPr>
            <w:tcW w:w="2382" w:type="dxa"/>
            <w:gridSpan w:val="7"/>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注册资本（限企业填写）</w:t>
            </w:r>
          </w:p>
        </w:tc>
        <w:tc>
          <w:tcPr>
            <w:tcW w:w="1434" w:type="dxa"/>
            <w:gridSpan w:val="6"/>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gridAfter w:val="1"/>
          <w:wAfter w:w="28" w:type="dxa"/>
          <w:trHeight w:val="405"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vMerge w:val="restart"/>
            <w:tcBorders>
              <w:top w:val="nil"/>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 xml:space="preserve">上年度资产状况(单位：万元)(限企业填写) </w:t>
            </w:r>
          </w:p>
        </w:tc>
        <w:tc>
          <w:tcPr>
            <w:tcW w:w="1247" w:type="dxa"/>
            <w:gridSpan w:val="4"/>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资产总额</w:t>
            </w:r>
          </w:p>
        </w:tc>
        <w:tc>
          <w:tcPr>
            <w:tcW w:w="1792" w:type="dxa"/>
            <w:gridSpan w:val="5"/>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0</w:t>
            </w:r>
            <w:r>
              <w:rPr>
                <w:rFonts w:ascii="Times New Roman" w:hAnsi="Times New Roman" w:cs="Times New Roman"/>
                <w:sz w:val="20"/>
                <w:szCs w:val="20"/>
              </w:rPr>
              <w:t>.00</w:t>
            </w:r>
          </w:p>
        </w:tc>
        <w:tc>
          <w:tcPr>
            <w:tcW w:w="1484" w:type="dxa"/>
            <w:gridSpan w:val="2"/>
            <w:vMerge w:val="restart"/>
            <w:tcBorders>
              <w:top w:val="nil"/>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负债总额</w:t>
            </w:r>
          </w:p>
        </w:tc>
        <w:tc>
          <w:tcPr>
            <w:tcW w:w="2332" w:type="dxa"/>
            <w:gridSpan w:val="11"/>
            <w:tcBorders>
              <w:top w:val="single" w:color="000000" w:sz="6" w:space="0"/>
              <w:left w:val="nil"/>
              <w:bottom w:val="single" w:color="000000" w:sz="6" w:space="0"/>
              <w:right w:val="single" w:color="000000" w:sz="6" w:space="0"/>
            </w:tcBorders>
          </w:tcPr>
          <w:p>
            <w:pPr>
              <w:rPr>
                <w:rFonts w:ascii="Times New Roman" w:hAnsi="Times New Roman" w:cs="Times New Roman"/>
                <w:sz w:val="20"/>
                <w:szCs w:val="20"/>
              </w:rPr>
            </w:pPr>
            <w:r>
              <w:rPr>
                <w:rFonts w:hint="eastAsia" w:ascii="Times New Roman" w:hAnsi="Times New Roman" w:cs="Times New Roman"/>
                <w:sz w:val="20"/>
                <w:szCs w:val="20"/>
              </w:rPr>
              <w:t>0</w:t>
            </w:r>
            <w:r>
              <w:rPr>
                <w:rFonts w:ascii="Times New Roman" w:hAnsi="Times New Roman" w:cs="Times New Roman"/>
                <w:sz w:val="20"/>
                <w:szCs w:val="20"/>
              </w:rPr>
              <w:t>.00</w:t>
            </w:r>
          </w:p>
        </w:tc>
      </w:tr>
      <w:tr>
        <w:trPr>
          <w:gridAfter w:val="1"/>
          <w:wAfter w:w="28" w:type="dxa"/>
          <w:trHeight w:val="405"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vMerge w:val="continue"/>
            <w:tcBorders>
              <w:top w:val="nil"/>
              <w:left w:val="nil"/>
              <w:bottom w:val="single" w:color="000000" w:sz="6" w:space="0"/>
              <w:right w:val="single" w:color="000000" w:sz="6" w:space="0"/>
            </w:tcBorders>
            <w:vAlign w:val="center"/>
          </w:tcPr>
          <w:p>
            <w:pPr>
              <w:rPr>
                <w:rFonts w:ascii="Times New Roman" w:hAnsi="Times New Roman" w:cs="Times New Roman"/>
                <w:sz w:val="20"/>
                <w:szCs w:val="20"/>
              </w:rPr>
            </w:pPr>
          </w:p>
        </w:tc>
        <w:tc>
          <w:tcPr>
            <w:tcW w:w="1247" w:type="dxa"/>
            <w:gridSpan w:val="4"/>
            <w:tcBorders>
              <w:top w:val="single" w:color="000000" w:sz="6" w:space="0"/>
              <w:left w:val="nil"/>
              <w:bottom w:val="single" w:color="000000" w:sz="6" w:space="0"/>
              <w:right w:val="single" w:color="000000" w:sz="6" w:space="0"/>
            </w:tcBorders>
            <w:vAlign w:val="center"/>
          </w:tcPr>
          <w:p>
            <w:pPr>
              <w:pStyle w:val="27"/>
              <w:wordWrap w:val="0"/>
              <w:ind w:firstLine="0"/>
              <w:rPr>
                <w:rFonts w:ascii="Times New Roman" w:hAnsi="Times New Roman" w:cs="Times New Roman"/>
                <w:sz w:val="18"/>
                <w:szCs w:val="18"/>
              </w:rPr>
            </w:pPr>
            <w:r>
              <w:rPr>
                <w:rFonts w:hint="eastAsia" w:ascii="Times New Roman" w:hAnsi="Times New Roman" w:cs="Times New Roman"/>
                <w:sz w:val="18"/>
                <w:szCs w:val="18"/>
              </w:rPr>
              <w:t>所有者权益总额</w:t>
            </w:r>
          </w:p>
        </w:tc>
        <w:tc>
          <w:tcPr>
            <w:tcW w:w="1792" w:type="dxa"/>
            <w:gridSpan w:val="5"/>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0</w:t>
            </w:r>
            <w:r>
              <w:rPr>
                <w:rFonts w:ascii="Times New Roman" w:hAnsi="Times New Roman" w:cs="Times New Roman"/>
                <w:sz w:val="20"/>
                <w:szCs w:val="20"/>
              </w:rPr>
              <w:t>.00</w:t>
            </w:r>
          </w:p>
        </w:tc>
        <w:tc>
          <w:tcPr>
            <w:tcW w:w="1484" w:type="dxa"/>
            <w:gridSpan w:val="2"/>
            <w:vMerge w:val="continue"/>
            <w:tcBorders>
              <w:top w:val="nil"/>
              <w:left w:val="nil"/>
              <w:bottom w:val="single" w:color="000000" w:sz="6" w:space="0"/>
              <w:right w:val="single" w:color="000000" w:sz="6" w:space="0"/>
            </w:tcBorders>
            <w:vAlign w:val="center"/>
          </w:tcPr>
          <w:p>
            <w:pPr>
              <w:rPr>
                <w:rFonts w:ascii="Times New Roman" w:hAnsi="Times New Roman" w:cs="Times New Roman"/>
                <w:sz w:val="20"/>
                <w:szCs w:val="20"/>
              </w:rPr>
            </w:pPr>
          </w:p>
        </w:tc>
        <w:tc>
          <w:tcPr>
            <w:tcW w:w="1434" w:type="dxa"/>
            <w:gridSpan w:val="8"/>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其中流动负债</w:t>
            </w:r>
          </w:p>
        </w:tc>
        <w:tc>
          <w:tcPr>
            <w:tcW w:w="898" w:type="dxa"/>
            <w:gridSpan w:val="3"/>
            <w:tcBorders>
              <w:top w:val="single" w:color="000000" w:sz="6" w:space="0"/>
              <w:left w:val="nil"/>
              <w:bottom w:val="single" w:color="000000" w:sz="6" w:space="0"/>
              <w:right w:val="single" w:color="000000" w:sz="6" w:space="0"/>
            </w:tcBorders>
          </w:tcPr>
          <w:p>
            <w:pPr>
              <w:rPr>
                <w:rFonts w:ascii="Times New Roman" w:hAnsi="Times New Roman" w:cs="Times New Roman"/>
                <w:sz w:val="20"/>
                <w:szCs w:val="20"/>
              </w:rPr>
            </w:pPr>
            <w:r>
              <w:rPr>
                <w:rFonts w:hint="eastAsia" w:ascii="Times New Roman" w:hAnsi="Times New Roman" w:cs="Times New Roman"/>
                <w:sz w:val="20"/>
                <w:szCs w:val="20"/>
              </w:rPr>
              <w:t>0</w:t>
            </w:r>
            <w:r>
              <w:rPr>
                <w:rFonts w:ascii="Times New Roman" w:hAnsi="Times New Roman" w:cs="Times New Roman"/>
                <w:sz w:val="20"/>
                <w:szCs w:val="20"/>
              </w:rPr>
              <w:t>.00</w:t>
            </w:r>
          </w:p>
        </w:tc>
      </w:tr>
      <w:tr>
        <w:tblPrEx>
          <w:tblCellMar>
            <w:top w:w="0" w:type="dxa"/>
            <w:left w:w="0" w:type="dxa"/>
            <w:bottom w:w="0" w:type="dxa"/>
            <w:right w:w="0" w:type="dxa"/>
          </w:tblCellMar>
        </w:tblPrEx>
        <w:trPr>
          <w:gridAfter w:val="1"/>
          <w:wAfter w:w="28" w:type="dxa"/>
          <w:trHeight w:val="559"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vMerge w:val="continue"/>
            <w:tcBorders>
              <w:top w:val="nil"/>
              <w:left w:val="nil"/>
              <w:bottom w:val="single" w:color="000000" w:sz="6" w:space="0"/>
              <w:right w:val="single" w:color="000000" w:sz="6" w:space="0"/>
            </w:tcBorders>
            <w:vAlign w:val="center"/>
          </w:tcPr>
          <w:p>
            <w:pPr>
              <w:rPr>
                <w:rFonts w:ascii="Times New Roman" w:hAnsi="Times New Roman" w:cs="Times New Roman"/>
                <w:sz w:val="20"/>
                <w:szCs w:val="20"/>
              </w:rPr>
            </w:pPr>
          </w:p>
        </w:tc>
        <w:tc>
          <w:tcPr>
            <w:tcW w:w="1247" w:type="dxa"/>
            <w:gridSpan w:val="4"/>
            <w:tcBorders>
              <w:top w:val="single" w:color="000000" w:sz="6" w:space="0"/>
              <w:left w:val="nil"/>
              <w:bottom w:val="single" w:color="000000" w:sz="6" w:space="0"/>
              <w:right w:val="single" w:color="000000" w:sz="6" w:space="0"/>
            </w:tcBorders>
            <w:vAlign w:val="center"/>
          </w:tcPr>
          <w:p>
            <w:pPr>
              <w:pStyle w:val="27"/>
              <w:wordWrap w:val="0"/>
              <w:ind w:firstLine="0"/>
              <w:rPr>
                <w:rFonts w:ascii="Times New Roman" w:hAnsi="Times New Roman" w:cs="Times New Roman"/>
                <w:sz w:val="20"/>
                <w:szCs w:val="20"/>
              </w:rPr>
            </w:pPr>
            <w:r>
              <w:rPr>
                <w:rFonts w:hint="eastAsia" w:ascii="Times New Roman" w:hAnsi="Times New Roman" w:cs="Times New Roman"/>
                <w:sz w:val="20"/>
                <w:szCs w:val="20"/>
              </w:rPr>
              <w:t>税后利润总额</w:t>
            </w:r>
          </w:p>
        </w:tc>
        <w:tc>
          <w:tcPr>
            <w:tcW w:w="1792" w:type="dxa"/>
            <w:gridSpan w:val="5"/>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0</w:t>
            </w:r>
            <w:r>
              <w:rPr>
                <w:rFonts w:ascii="Times New Roman" w:hAnsi="Times New Roman" w:cs="Times New Roman"/>
                <w:sz w:val="20"/>
                <w:szCs w:val="20"/>
              </w:rPr>
              <w:t>.00</w:t>
            </w:r>
          </w:p>
        </w:tc>
        <w:tc>
          <w:tcPr>
            <w:tcW w:w="1484" w:type="dxa"/>
            <w:gridSpan w:val="2"/>
            <w:vMerge w:val="restart"/>
            <w:tcBorders>
              <w:top w:val="nil"/>
              <w:left w:val="nil"/>
              <w:bottom w:val="single" w:color="000000" w:sz="6" w:space="0"/>
              <w:right w:val="single" w:color="000000" w:sz="6" w:space="0"/>
            </w:tcBorders>
            <w:vAlign w:val="center"/>
          </w:tcPr>
          <w:p>
            <w:pPr>
              <w:pStyle w:val="27"/>
              <w:wordWrap w:val="0"/>
              <w:ind w:firstLine="0"/>
              <w:rPr>
                <w:rFonts w:ascii="Times New Roman" w:hAnsi="Times New Roman" w:cs="Times New Roman"/>
                <w:sz w:val="20"/>
                <w:szCs w:val="20"/>
              </w:rPr>
            </w:pPr>
            <w:r>
              <w:rPr>
                <w:rFonts w:hint="eastAsia" w:ascii="Times New Roman" w:hAnsi="Times New Roman" w:cs="Times New Roman"/>
                <w:sz w:val="20"/>
                <w:szCs w:val="20"/>
              </w:rPr>
              <w:t>销售收入总额</w:t>
            </w:r>
          </w:p>
        </w:tc>
        <w:tc>
          <w:tcPr>
            <w:tcW w:w="2332" w:type="dxa"/>
            <w:gridSpan w:val="11"/>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0</w:t>
            </w:r>
            <w:r>
              <w:rPr>
                <w:rFonts w:ascii="Times New Roman" w:hAnsi="Times New Roman" w:cs="Times New Roman"/>
                <w:sz w:val="20"/>
                <w:szCs w:val="20"/>
              </w:rPr>
              <w:t>.00</w:t>
            </w:r>
          </w:p>
        </w:tc>
      </w:tr>
      <w:tr>
        <w:tblPrEx>
          <w:tblCellMar>
            <w:top w:w="0" w:type="dxa"/>
            <w:left w:w="0" w:type="dxa"/>
            <w:bottom w:w="0" w:type="dxa"/>
            <w:right w:w="0" w:type="dxa"/>
          </w:tblCellMar>
        </w:tblPrEx>
        <w:trPr>
          <w:gridAfter w:val="1"/>
          <w:wAfter w:w="28" w:type="dxa"/>
          <w:trHeight w:val="775"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vMerge w:val="continue"/>
            <w:tcBorders>
              <w:top w:val="nil"/>
              <w:left w:val="nil"/>
              <w:bottom w:val="single" w:color="000000" w:sz="6" w:space="0"/>
              <w:right w:val="single" w:color="000000" w:sz="6" w:space="0"/>
            </w:tcBorders>
            <w:vAlign w:val="center"/>
          </w:tcPr>
          <w:p>
            <w:pPr>
              <w:rPr>
                <w:rFonts w:ascii="Times New Roman" w:hAnsi="Times New Roman" w:cs="Times New Roman"/>
                <w:sz w:val="20"/>
                <w:szCs w:val="20"/>
              </w:rPr>
            </w:pPr>
          </w:p>
        </w:tc>
        <w:tc>
          <w:tcPr>
            <w:tcW w:w="1247" w:type="dxa"/>
            <w:gridSpan w:val="4"/>
            <w:tcBorders>
              <w:top w:val="single" w:color="000000" w:sz="6" w:space="0"/>
              <w:left w:val="nil"/>
              <w:bottom w:val="single" w:color="000000" w:sz="6" w:space="0"/>
              <w:right w:val="single" w:color="000000" w:sz="6" w:space="0"/>
            </w:tcBorders>
            <w:vAlign w:val="center"/>
          </w:tcPr>
          <w:p>
            <w:pPr>
              <w:pStyle w:val="27"/>
              <w:wordWrap w:val="0"/>
              <w:ind w:firstLine="0"/>
              <w:rPr>
                <w:rFonts w:ascii="Times New Roman" w:hAnsi="Times New Roman" w:cs="Times New Roman"/>
                <w:sz w:val="20"/>
                <w:szCs w:val="20"/>
              </w:rPr>
            </w:pPr>
            <w:r>
              <w:rPr>
                <w:rFonts w:hint="eastAsia" w:ascii="Times New Roman" w:hAnsi="Times New Roman" w:cs="Times New Roman"/>
                <w:sz w:val="20"/>
                <w:szCs w:val="20"/>
              </w:rPr>
              <w:t>企业研发(R&amp;D)投入</w:t>
            </w:r>
          </w:p>
        </w:tc>
        <w:tc>
          <w:tcPr>
            <w:tcW w:w="1792" w:type="dxa"/>
            <w:gridSpan w:val="5"/>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0</w:t>
            </w:r>
            <w:r>
              <w:rPr>
                <w:rFonts w:ascii="Times New Roman" w:hAnsi="Times New Roman" w:cs="Times New Roman"/>
                <w:sz w:val="20"/>
                <w:szCs w:val="20"/>
              </w:rPr>
              <w:t>.00</w:t>
            </w:r>
          </w:p>
        </w:tc>
        <w:tc>
          <w:tcPr>
            <w:tcW w:w="1484" w:type="dxa"/>
            <w:gridSpan w:val="2"/>
            <w:vMerge w:val="continue"/>
            <w:tcBorders>
              <w:top w:val="nil"/>
              <w:left w:val="nil"/>
              <w:bottom w:val="single" w:color="000000" w:sz="6" w:space="0"/>
              <w:right w:val="single" w:color="000000" w:sz="6" w:space="0"/>
            </w:tcBorders>
            <w:vAlign w:val="center"/>
          </w:tcPr>
          <w:p>
            <w:pPr>
              <w:rPr>
                <w:rFonts w:ascii="Times New Roman" w:hAnsi="Times New Roman" w:cs="Times New Roman"/>
                <w:sz w:val="20"/>
                <w:szCs w:val="20"/>
              </w:rPr>
            </w:pPr>
          </w:p>
        </w:tc>
        <w:tc>
          <w:tcPr>
            <w:tcW w:w="1434" w:type="dxa"/>
            <w:gridSpan w:val="8"/>
            <w:tcBorders>
              <w:top w:val="single" w:color="000000" w:sz="6" w:space="0"/>
              <w:left w:val="nil"/>
              <w:bottom w:val="single" w:color="000000" w:sz="6" w:space="0"/>
              <w:right w:val="single" w:color="000000" w:sz="6" w:space="0"/>
            </w:tcBorders>
            <w:vAlign w:val="center"/>
          </w:tcPr>
          <w:p>
            <w:pPr>
              <w:pStyle w:val="27"/>
              <w:wordWrap w:val="0"/>
              <w:ind w:firstLine="0"/>
              <w:rPr>
                <w:rFonts w:ascii="Times New Roman" w:hAnsi="Times New Roman" w:cs="Times New Roman"/>
                <w:sz w:val="20"/>
                <w:szCs w:val="20"/>
              </w:rPr>
            </w:pPr>
            <w:r>
              <w:rPr>
                <w:rFonts w:hint="eastAsia" w:ascii="Times New Roman" w:hAnsi="Times New Roman" w:cs="Times New Roman"/>
                <w:sz w:val="20"/>
                <w:szCs w:val="20"/>
              </w:rPr>
              <w:t>主营业务收入</w:t>
            </w:r>
          </w:p>
        </w:tc>
        <w:tc>
          <w:tcPr>
            <w:tcW w:w="898" w:type="dxa"/>
            <w:gridSpan w:val="3"/>
            <w:tcBorders>
              <w:top w:val="single" w:color="000000" w:sz="6" w:space="0"/>
              <w:left w:val="nil"/>
              <w:bottom w:val="single" w:color="000000" w:sz="6" w:space="0"/>
              <w:right w:val="single" w:color="000000" w:sz="6" w:space="0"/>
            </w:tcBorders>
          </w:tcPr>
          <w:p>
            <w:pPr>
              <w:rPr>
                <w:rFonts w:ascii="Times New Roman" w:hAnsi="Times New Roman" w:cs="Times New Roman"/>
                <w:sz w:val="20"/>
                <w:szCs w:val="20"/>
              </w:rPr>
            </w:pPr>
            <w:r>
              <w:rPr>
                <w:rFonts w:hint="eastAsia" w:ascii="Times New Roman" w:hAnsi="Times New Roman" w:cs="Times New Roman"/>
                <w:sz w:val="20"/>
                <w:szCs w:val="20"/>
              </w:rPr>
              <w:t>0</w:t>
            </w:r>
            <w:r>
              <w:rPr>
                <w:rFonts w:ascii="Times New Roman" w:hAnsi="Times New Roman" w:cs="Times New Roman"/>
                <w:sz w:val="20"/>
                <w:szCs w:val="20"/>
              </w:rPr>
              <w:t>.00</w:t>
            </w:r>
          </w:p>
        </w:tc>
      </w:tr>
      <w:tr>
        <w:tblPrEx>
          <w:tblCellMar>
            <w:top w:w="0" w:type="dxa"/>
            <w:left w:w="0" w:type="dxa"/>
            <w:bottom w:w="0" w:type="dxa"/>
            <w:right w:w="0" w:type="dxa"/>
          </w:tblCellMar>
        </w:tblPrEx>
        <w:trPr>
          <w:gridAfter w:val="1"/>
          <w:wAfter w:w="28" w:type="dxa"/>
          <w:trHeight w:val="364" w:hRule="atLeast"/>
          <w:jc w:val="center"/>
        </w:trPr>
        <w:tc>
          <w:tcPr>
            <w:tcW w:w="451" w:type="dxa"/>
            <w:vMerge w:val="restart"/>
            <w:tcBorders>
              <w:top w:val="nil"/>
              <w:left w:val="single" w:color="000000" w:sz="6" w:space="0"/>
              <w:bottom w:val="single" w:color="000000" w:sz="6" w:space="0"/>
              <w:right w:val="single" w:color="000000" w:sz="6" w:space="0"/>
            </w:tcBorders>
            <w:vAlign w:val="center"/>
          </w:tcPr>
          <w:p>
            <w:pPr>
              <w:pStyle w:val="27"/>
              <w:wordWrap w:val="0"/>
              <w:ind w:firstLine="0"/>
              <w:rPr>
                <w:rFonts w:cs="Times New Roman"/>
                <w:spacing w:val="15"/>
                <w:sz w:val="21"/>
                <w:szCs w:val="21"/>
              </w:rPr>
            </w:pPr>
            <w:r>
              <w:rPr>
                <w:rFonts w:hint="eastAsia" w:cs="Times New Roman"/>
                <w:spacing w:val="15"/>
                <w:sz w:val="21"/>
                <w:szCs w:val="21"/>
              </w:rPr>
              <w:t>合作单位</w:t>
            </w:r>
          </w:p>
        </w:tc>
        <w:tc>
          <w:tcPr>
            <w:tcW w:w="988" w:type="dxa"/>
            <w:gridSpan w:val="3"/>
            <w:tcBorders>
              <w:top w:val="single" w:color="000000" w:sz="6" w:space="0"/>
              <w:left w:val="nil"/>
              <w:bottom w:val="single" w:color="000000" w:sz="6" w:space="0"/>
              <w:right w:val="single" w:color="auto" w:sz="8" w:space="0"/>
            </w:tcBorders>
            <w:vAlign w:val="center"/>
          </w:tcPr>
          <w:p>
            <w:pPr>
              <w:pStyle w:val="27"/>
              <w:wordWrap w:val="0"/>
              <w:ind w:firstLine="0"/>
              <w:jc w:val="center"/>
              <w:rPr>
                <w:rFonts w:ascii="Times New Roman" w:hAnsi="Times New Roman" w:cs="Times New Roman"/>
                <w:sz w:val="20"/>
                <w:szCs w:val="20"/>
              </w:rPr>
            </w:pPr>
            <w:r>
              <w:rPr>
                <w:rFonts w:hint="eastAsia" w:ascii="Times New Roman" w:hAnsi="Times New Roman" w:cs="Times New Roman"/>
                <w:sz w:val="20"/>
                <w:szCs w:val="20"/>
              </w:rPr>
              <w:t>信用代码</w:t>
            </w:r>
          </w:p>
        </w:tc>
        <w:tc>
          <w:tcPr>
            <w:tcW w:w="3039" w:type="dxa"/>
            <w:gridSpan w:val="9"/>
            <w:tcBorders>
              <w:top w:val="single" w:color="000000" w:sz="6" w:space="0"/>
              <w:left w:val="single" w:color="auto" w:sz="8" w:space="0"/>
              <w:bottom w:val="single" w:color="000000" w:sz="6" w:space="0"/>
              <w:right w:val="single" w:color="000000" w:sz="6" w:space="0"/>
            </w:tcBorders>
            <w:vAlign w:val="center"/>
          </w:tcPr>
          <w:p>
            <w:pPr>
              <w:pStyle w:val="27"/>
              <w:wordWrap w:val="0"/>
              <w:ind w:firstLine="0"/>
              <w:jc w:val="center"/>
              <w:rPr>
                <w:rFonts w:ascii="Times New Roman" w:hAnsi="Times New Roman" w:cs="Times New Roman"/>
                <w:sz w:val="20"/>
                <w:szCs w:val="20"/>
              </w:rPr>
            </w:pPr>
            <w:r>
              <w:rPr>
                <w:rFonts w:hint="eastAsia" w:ascii="Times New Roman" w:hAnsi="Times New Roman" w:cs="Times New Roman"/>
                <w:sz w:val="20"/>
                <w:szCs w:val="20"/>
              </w:rPr>
              <w:t>名称</w:t>
            </w:r>
          </w:p>
        </w:tc>
        <w:tc>
          <w:tcPr>
            <w:tcW w:w="2918" w:type="dxa"/>
            <w:gridSpan w:val="10"/>
            <w:tcBorders>
              <w:top w:val="single" w:color="000000" w:sz="6" w:space="0"/>
              <w:left w:val="nil"/>
              <w:bottom w:val="single" w:color="000000" w:sz="6" w:space="0"/>
              <w:right w:val="single" w:color="auto" w:sz="4" w:space="0"/>
            </w:tcBorders>
            <w:vAlign w:val="center"/>
          </w:tcPr>
          <w:p>
            <w:pPr>
              <w:pStyle w:val="27"/>
              <w:wordWrap w:val="0"/>
              <w:jc w:val="center"/>
              <w:rPr>
                <w:rFonts w:ascii="Times New Roman" w:hAnsi="Times New Roman" w:cs="Times New Roman"/>
                <w:sz w:val="20"/>
                <w:szCs w:val="20"/>
              </w:rPr>
            </w:pPr>
            <w:r>
              <w:rPr>
                <w:rFonts w:hint="eastAsia" w:ascii="Times New Roman" w:hAnsi="Times New Roman" w:cs="Times New Roman"/>
                <w:sz w:val="20"/>
                <w:szCs w:val="20"/>
              </w:rPr>
              <w:t>在本项目中分工</w:t>
            </w:r>
          </w:p>
        </w:tc>
        <w:tc>
          <w:tcPr>
            <w:tcW w:w="898" w:type="dxa"/>
            <w:gridSpan w:val="3"/>
            <w:tcBorders>
              <w:top w:val="single" w:color="000000" w:sz="6" w:space="0"/>
              <w:left w:val="single" w:color="auto" w:sz="4" w:space="0"/>
              <w:bottom w:val="single" w:color="000000" w:sz="6" w:space="0"/>
              <w:right w:val="single" w:color="000000" w:sz="6" w:space="0"/>
            </w:tcBorders>
            <w:vAlign w:val="center"/>
          </w:tcPr>
          <w:p>
            <w:pPr>
              <w:pStyle w:val="27"/>
              <w:wordWrap w:val="0"/>
              <w:ind w:firstLine="0"/>
              <w:jc w:val="center"/>
              <w:rPr>
                <w:rFonts w:ascii="Times New Roman" w:hAnsi="Times New Roman" w:cs="Times New Roman"/>
                <w:sz w:val="20"/>
                <w:szCs w:val="20"/>
              </w:rPr>
            </w:pPr>
            <w:r>
              <w:rPr>
                <w:rFonts w:hint="eastAsia" w:ascii="Times New Roman" w:hAnsi="Times New Roman" w:cs="Times New Roman"/>
                <w:sz w:val="20"/>
                <w:szCs w:val="20"/>
              </w:rPr>
              <w:t>自筹经费</w:t>
            </w:r>
          </w:p>
        </w:tc>
      </w:tr>
      <w:tr>
        <w:tblPrEx>
          <w:tblCellMar>
            <w:top w:w="0" w:type="dxa"/>
            <w:left w:w="0" w:type="dxa"/>
            <w:bottom w:w="0" w:type="dxa"/>
            <w:right w:w="0" w:type="dxa"/>
          </w:tblCellMar>
        </w:tblPrEx>
        <w:trPr>
          <w:gridAfter w:val="1"/>
          <w:wAfter w:w="28" w:type="dxa"/>
          <w:trHeight w:val="405"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tcBorders>
              <w:top w:val="single" w:color="000000" w:sz="6" w:space="0"/>
              <w:left w:val="nil"/>
              <w:bottom w:val="single" w:color="000000" w:sz="6" w:space="0"/>
              <w:right w:val="single" w:color="auto" w:sz="8" w:space="0"/>
            </w:tcBorders>
            <w:vAlign w:val="center"/>
          </w:tcPr>
          <w:p>
            <w:pPr>
              <w:rPr>
                <w:rFonts w:ascii="Times New Roman" w:hAnsi="Times New Roman" w:cs="Times New Roman"/>
                <w:sz w:val="20"/>
                <w:szCs w:val="20"/>
              </w:rPr>
            </w:pPr>
          </w:p>
        </w:tc>
        <w:tc>
          <w:tcPr>
            <w:tcW w:w="3039" w:type="dxa"/>
            <w:gridSpan w:val="9"/>
            <w:tcBorders>
              <w:top w:val="single" w:color="000000" w:sz="6" w:space="0"/>
              <w:left w:val="single" w:color="auto" w:sz="8" w:space="0"/>
              <w:bottom w:val="single" w:color="000000" w:sz="6" w:space="0"/>
              <w:right w:val="single" w:color="000000" w:sz="6" w:space="0"/>
            </w:tcBorders>
            <w:vAlign w:val="center"/>
          </w:tcPr>
          <w:p>
            <w:pPr>
              <w:rPr>
                <w:rFonts w:ascii="Times New Roman" w:hAnsi="Times New Roman" w:cs="Times New Roman"/>
                <w:sz w:val="20"/>
                <w:szCs w:val="20"/>
              </w:rPr>
            </w:pPr>
          </w:p>
        </w:tc>
        <w:tc>
          <w:tcPr>
            <w:tcW w:w="2918" w:type="dxa"/>
            <w:gridSpan w:val="10"/>
            <w:tcBorders>
              <w:top w:val="single" w:color="000000" w:sz="6" w:space="0"/>
              <w:left w:val="nil"/>
              <w:bottom w:val="single" w:color="000000" w:sz="6" w:space="0"/>
              <w:right w:val="single" w:color="auto" w:sz="4" w:space="0"/>
            </w:tcBorders>
            <w:vAlign w:val="center"/>
          </w:tcPr>
          <w:p>
            <w:pPr>
              <w:rPr>
                <w:rFonts w:ascii="Times New Roman" w:hAnsi="Times New Roman" w:cs="Times New Roman"/>
                <w:sz w:val="20"/>
                <w:szCs w:val="20"/>
              </w:rPr>
            </w:pPr>
          </w:p>
        </w:tc>
        <w:tc>
          <w:tcPr>
            <w:tcW w:w="898" w:type="dxa"/>
            <w:gridSpan w:val="3"/>
            <w:tcBorders>
              <w:top w:val="single" w:color="000000" w:sz="6" w:space="0"/>
              <w:left w:val="single" w:color="auto" w:sz="4" w:space="0"/>
              <w:bottom w:val="single" w:color="000000" w:sz="6" w:space="0"/>
              <w:right w:val="single" w:color="000000" w:sz="6"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gridAfter w:val="1"/>
          <w:wAfter w:w="28" w:type="dxa"/>
          <w:trHeight w:val="405"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tcBorders>
              <w:top w:val="single" w:color="000000" w:sz="6" w:space="0"/>
              <w:left w:val="nil"/>
              <w:bottom w:val="single" w:color="000000" w:sz="6" w:space="0"/>
              <w:right w:val="single" w:color="auto" w:sz="8" w:space="0"/>
            </w:tcBorders>
            <w:vAlign w:val="center"/>
          </w:tcPr>
          <w:p>
            <w:pPr>
              <w:rPr>
                <w:rFonts w:ascii="Times New Roman" w:hAnsi="Times New Roman" w:cs="Times New Roman"/>
                <w:sz w:val="20"/>
                <w:szCs w:val="20"/>
              </w:rPr>
            </w:pPr>
          </w:p>
        </w:tc>
        <w:tc>
          <w:tcPr>
            <w:tcW w:w="3039" w:type="dxa"/>
            <w:gridSpan w:val="9"/>
            <w:tcBorders>
              <w:top w:val="single" w:color="000000" w:sz="6" w:space="0"/>
              <w:left w:val="single" w:color="auto" w:sz="8" w:space="0"/>
              <w:bottom w:val="single" w:color="000000" w:sz="6" w:space="0"/>
              <w:right w:val="single" w:color="000000" w:sz="6" w:space="0"/>
            </w:tcBorders>
            <w:vAlign w:val="center"/>
          </w:tcPr>
          <w:p>
            <w:pPr>
              <w:rPr>
                <w:rFonts w:ascii="Times New Roman" w:hAnsi="Times New Roman" w:cs="Times New Roman"/>
                <w:sz w:val="20"/>
                <w:szCs w:val="20"/>
              </w:rPr>
            </w:pPr>
          </w:p>
        </w:tc>
        <w:tc>
          <w:tcPr>
            <w:tcW w:w="2918" w:type="dxa"/>
            <w:gridSpan w:val="10"/>
            <w:tcBorders>
              <w:top w:val="single" w:color="000000" w:sz="6" w:space="0"/>
              <w:left w:val="nil"/>
              <w:bottom w:val="single" w:color="000000" w:sz="6" w:space="0"/>
              <w:right w:val="single" w:color="auto" w:sz="4" w:space="0"/>
            </w:tcBorders>
            <w:vAlign w:val="center"/>
          </w:tcPr>
          <w:p>
            <w:pPr>
              <w:rPr>
                <w:rFonts w:ascii="Times New Roman" w:hAnsi="Times New Roman" w:cs="Times New Roman"/>
                <w:sz w:val="20"/>
                <w:szCs w:val="20"/>
              </w:rPr>
            </w:pPr>
          </w:p>
        </w:tc>
        <w:tc>
          <w:tcPr>
            <w:tcW w:w="898" w:type="dxa"/>
            <w:gridSpan w:val="3"/>
            <w:tcBorders>
              <w:top w:val="single" w:color="000000" w:sz="6" w:space="0"/>
              <w:left w:val="single" w:color="auto" w:sz="4" w:space="0"/>
              <w:bottom w:val="single" w:color="000000" w:sz="6" w:space="0"/>
              <w:right w:val="single" w:color="000000" w:sz="6" w:space="0"/>
            </w:tcBorders>
            <w:vAlign w:val="center"/>
          </w:tcPr>
          <w:p>
            <w:pPr>
              <w:rPr>
                <w:rFonts w:ascii="Times New Roman" w:hAnsi="Times New Roman" w:cs="Times New Roman"/>
                <w:sz w:val="20"/>
                <w:szCs w:val="20"/>
              </w:rPr>
            </w:pPr>
          </w:p>
        </w:tc>
      </w:tr>
      <w:tr>
        <w:tblPrEx>
          <w:tblCellMar>
            <w:top w:w="0" w:type="dxa"/>
            <w:left w:w="0" w:type="dxa"/>
            <w:bottom w:w="0" w:type="dxa"/>
            <w:right w:w="0" w:type="dxa"/>
          </w:tblCellMar>
        </w:tblPrEx>
        <w:trPr>
          <w:gridAfter w:val="1"/>
          <w:wAfter w:w="28" w:type="dxa"/>
          <w:trHeight w:val="480" w:hRule="atLeast"/>
          <w:jc w:val="center"/>
        </w:trPr>
        <w:tc>
          <w:tcPr>
            <w:tcW w:w="451" w:type="dxa"/>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988" w:type="dxa"/>
            <w:gridSpan w:val="3"/>
            <w:tcBorders>
              <w:top w:val="single" w:color="000000" w:sz="6" w:space="0"/>
              <w:left w:val="nil"/>
              <w:bottom w:val="single" w:color="000000" w:sz="6" w:space="0"/>
              <w:right w:val="single" w:color="auto" w:sz="8" w:space="0"/>
            </w:tcBorders>
            <w:vAlign w:val="center"/>
          </w:tcPr>
          <w:p>
            <w:pPr>
              <w:rPr>
                <w:rFonts w:ascii="Times New Roman" w:hAnsi="Times New Roman" w:cs="Times New Roman"/>
                <w:sz w:val="20"/>
                <w:szCs w:val="20"/>
              </w:rPr>
            </w:pPr>
          </w:p>
        </w:tc>
        <w:tc>
          <w:tcPr>
            <w:tcW w:w="3039" w:type="dxa"/>
            <w:gridSpan w:val="9"/>
            <w:tcBorders>
              <w:top w:val="single" w:color="000000" w:sz="6" w:space="0"/>
              <w:left w:val="single" w:color="auto" w:sz="8" w:space="0"/>
              <w:bottom w:val="single" w:color="000000" w:sz="6" w:space="0"/>
              <w:right w:val="single" w:color="000000" w:sz="6" w:space="0"/>
            </w:tcBorders>
            <w:vAlign w:val="center"/>
          </w:tcPr>
          <w:p>
            <w:pPr>
              <w:rPr>
                <w:rFonts w:ascii="Times New Roman" w:hAnsi="Times New Roman" w:cs="Times New Roman"/>
                <w:sz w:val="20"/>
                <w:szCs w:val="20"/>
              </w:rPr>
            </w:pPr>
          </w:p>
        </w:tc>
        <w:tc>
          <w:tcPr>
            <w:tcW w:w="2918" w:type="dxa"/>
            <w:gridSpan w:val="10"/>
            <w:tcBorders>
              <w:top w:val="single" w:color="000000" w:sz="6" w:space="0"/>
              <w:left w:val="nil"/>
              <w:bottom w:val="single" w:color="000000" w:sz="6" w:space="0"/>
              <w:right w:val="single" w:color="auto" w:sz="4" w:space="0"/>
            </w:tcBorders>
            <w:vAlign w:val="center"/>
          </w:tcPr>
          <w:p>
            <w:pPr>
              <w:rPr>
                <w:rFonts w:ascii="Times New Roman" w:hAnsi="Times New Roman" w:cs="Times New Roman"/>
                <w:sz w:val="20"/>
                <w:szCs w:val="20"/>
              </w:rPr>
            </w:pPr>
          </w:p>
        </w:tc>
        <w:tc>
          <w:tcPr>
            <w:tcW w:w="898" w:type="dxa"/>
            <w:gridSpan w:val="3"/>
            <w:tcBorders>
              <w:top w:val="single" w:color="000000" w:sz="6" w:space="0"/>
              <w:left w:val="single" w:color="auto" w:sz="4" w:space="0"/>
              <w:bottom w:val="single" w:color="000000" w:sz="6" w:space="0"/>
              <w:right w:val="single" w:color="000000" w:sz="6" w:space="0"/>
            </w:tcBorders>
            <w:vAlign w:val="center"/>
          </w:tcPr>
          <w:p>
            <w:pPr>
              <w:rPr>
                <w:rFonts w:ascii="Times New Roman" w:hAnsi="Times New Roman" w:cs="Times New Roman"/>
                <w:sz w:val="20"/>
                <w:szCs w:val="20"/>
              </w:rPr>
            </w:pPr>
          </w:p>
        </w:tc>
      </w:tr>
      <w:tr>
        <w:trPr>
          <w:gridAfter w:val="1"/>
          <w:wAfter w:w="28" w:type="dxa"/>
          <w:trHeight w:val="555" w:hRule="atLeast"/>
          <w:jc w:val="center"/>
        </w:trPr>
        <w:tc>
          <w:tcPr>
            <w:tcW w:w="750" w:type="dxa"/>
            <w:gridSpan w:val="3"/>
            <w:vMerge w:val="restart"/>
            <w:tcBorders>
              <w:top w:val="nil"/>
              <w:left w:val="single" w:color="000000" w:sz="6" w:space="0"/>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项目负责人</w:t>
            </w:r>
          </w:p>
        </w:tc>
        <w:tc>
          <w:tcPr>
            <w:tcW w:w="1266" w:type="dxa"/>
            <w:gridSpan w:val="3"/>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姓名</w:t>
            </w:r>
          </w:p>
        </w:tc>
        <w:tc>
          <w:tcPr>
            <w:tcW w:w="1241" w:type="dxa"/>
            <w:gridSpan w:val="3"/>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左琳</w:t>
            </w:r>
          </w:p>
        </w:tc>
        <w:tc>
          <w:tcPr>
            <w:tcW w:w="1221" w:type="dxa"/>
            <w:gridSpan w:val="4"/>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性别</w:t>
            </w:r>
          </w:p>
        </w:tc>
        <w:tc>
          <w:tcPr>
            <w:tcW w:w="1505" w:type="dxa"/>
            <w:gridSpan w:val="3"/>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女</w:t>
            </w:r>
          </w:p>
        </w:tc>
        <w:tc>
          <w:tcPr>
            <w:tcW w:w="1170" w:type="dxa"/>
            <w:gridSpan w:val="5"/>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出生年月</w:t>
            </w:r>
          </w:p>
        </w:tc>
        <w:tc>
          <w:tcPr>
            <w:tcW w:w="1141" w:type="dxa"/>
            <w:gridSpan w:val="5"/>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1</w:t>
            </w:r>
            <w:r>
              <w:rPr>
                <w:rFonts w:ascii="Times New Roman" w:hAnsi="Times New Roman" w:cs="Times New Roman"/>
                <w:sz w:val="20"/>
                <w:szCs w:val="20"/>
              </w:rPr>
              <w:t>976.11</w:t>
            </w:r>
          </w:p>
        </w:tc>
      </w:tr>
      <w:tr>
        <w:trPr>
          <w:gridAfter w:val="1"/>
          <w:wAfter w:w="28" w:type="dxa"/>
          <w:trHeight w:val="555" w:hRule="atLeast"/>
          <w:jc w:val="center"/>
        </w:trPr>
        <w:tc>
          <w:tcPr>
            <w:tcW w:w="750" w:type="dxa"/>
            <w:gridSpan w:val="3"/>
            <w:vMerge w:val="continue"/>
            <w:tcBorders>
              <w:top w:val="nil"/>
              <w:left w:val="single" w:color="000000" w:sz="6" w:space="0"/>
              <w:bottom w:val="nil"/>
              <w:right w:val="single" w:color="000000" w:sz="6" w:space="0"/>
            </w:tcBorders>
            <w:vAlign w:val="center"/>
          </w:tcPr>
          <w:p>
            <w:pPr>
              <w:rPr>
                <w:rFonts w:ascii="Times New Roman" w:hAnsi="Times New Roman" w:cs="Times New Roman"/>
                <w:sz w:val="20"/>
                <w:szCs w:val="20"/>
              </w:rPr>
            </w:pPr>
          </w:p>
        </w:tc>
        <w:tc>
          <w:tcPr>
            <w:tcW w:w="1266" w:type="dxa"/>
            <w:gridSpan w:val="3"/>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学历（学位）</w:t>
            </w:r>
          </w:p>
        </w:tc>
        <w:tc>
          <w:tcPr>
            <w:tcW w:w="1241" w:type="dxa"/>
            <w:gridSpan w:val="3"/>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博士</w:t>
            </w:r>
          </w:p>
        </w:tc>
        <w:tc>
          <w:tcPr>
            <w:tcW w:w="1221" w:type="dxa"/>
            <w:gridSpan w:val="4"/>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职称</w:t>
            </w:r>
          </w:p>
        </w:tc>
        <w:tc>
          <w:tcPr>
            <w:tcW w:w="1505" w:type="dxa"/>
            <w:gridSpan w:val="3"/>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教授</w:t>
            </w:r>
          </w:p>
        </w:tc>
        <w:tc>
          <w:tcPr>
            <w:tcW w:w="1170" w:type="dxa"/>
            <w:gridSpan w:val="5"/>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手机</w:t>
            </w:r>
          </w:p>
        </w:tc>
        <w:tc>
          <w:tcPr>
            <w:tcW w:w="1141" w:type="dxa"/>
            <w:gridSpan w:val="5"/>
            <w:tcBorders>
              <w:top w:val="single" w:color="000000" w:sz="6" w:space="0"/>
              <w:left w:val="nil"/>
              <w:bottom w:val="nil"/>
              <w:right w:val="single" w:color="000000" w:sz="6" w:space="0"/>
            </w:tcBorders>
            <w:vAlign w:val="center"/>
          </w:tcPr>
          <w:p>
            <w:pPr>
              <w:rPr>
                <w:rFonts w:ascii="Times New Roman" w:hAnsi="Times New Roman" w:cs="Times New Roman"/>
                <w:sz w:val="20"/>
                <w:szCs w:val="20"/>
              </w:rPr>
            </w:pPr>
            <w:r>
              <w:rPr>
                <w:rFonts w:ascii="Times New Roman" w:hAnsi="Times New Roman" w:cs="Times New Roman"/>
                <w:color w:val="000000"/>
                <w:sz w:val="20"/>
                <w:szCs w:val="20"/>
              </w:rPr>
              <w:t>18615709177</w:t>
            </w:r>
          </w:p>
        </w:tc>
      </w:tr>
      <w:tr>
        <w:tblPrEx>
          <w:tblCellMar>
            <w:top w:w="0" w:type="dxa"/>
            <w:left w:w="0" w:type="dxa"/>
            <w:bottom w:w="0" w:type="dxa"/>
            <w:right w:w="0" w:type="dxa"/>
          </w:tblCellMar>
        </w:tblPrEx>
        <w:trPr>
          <w:gridAfter w:val="2"/>
          <w:wAfter w:w="49" w:type="dxa"/>
          <w:trHeight w:val="488" w:hRule="atLeast"/>
          <w:jc w:val="center"/>
        </w:trPr>
        <w:tc>
          <w:tcPr>
            <w:tcW w:w="1439" w:type="dxa"/>
            <w:gridSpan w:val="4"/>
            <w:tcBorders>
              <w:top w:val="single" w:color="000000" w:sz="6" w:space="0"/>
              <w:left w:val="single" w:color="000000" w:sz="6" w:space="0"/>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 xml:space="preserve">项目组人数 </w:t>
            </w:r>
          </w:p>
        </w:tc>
        <w:tc>
          <w:tcPr>
            <w:tcW w:w="1247" w:type="dxa"/>
            <w:gridSpan w:val="4"/>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7</w:t>
            </w:r>
          </w:p>
        </w:tc>
        <w:tc>
          <w:tcPr>
            <w:tcW w:w="1150" w:type="dxa"/>
            <w:gridSpan w:val="4"/>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高级</w:t>
            </w:r>
          </w:p>
        </w:tc>
        <w:tc>
          <w:tcPr>
            <w:tcW w:w="642" w:type="dxa"/>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Times New Roman" w:hAnsi="Times New Roman" w:cs="Times New Roman"/>
                <w:sz w:val="20"/>
                <w:szCs w:val="20"/>
              </w:rPr>
              <w:t>2</w:t>
            </w:r>
          </w:p>
        </w:tc>
        <w:tc>
          <w:tcPr>
            <w:tcW w:w="685" w:type="dxa"/>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中级</w:t>
            </w:r>
          </w:p>
        </w:tc>
        <w:tc>
          <w:tcPr>
            <w:tcW w:w="799" w:type="dxa"/>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0</w:t>
            </w:r>
          </w:p>
        </w:tc>
        <w:tc>
          <w:tcPr>
            <w:tcW w:w="719" w:type="dxa"/>
            <w:gridSpan w:val="4"/>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初级</w:t>
            </w:r>
          </w:p>
        </w:tc>
        <w:tc>
          <w:tcPr>
            <w:tcW w:w="540" w:type="dxa"/>
            <w:gridSpan w:val="3"/>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0</w:t>
            </w:r>
          </w:p>
        </w:tc>
        <w:tc>
          <w:tcPr>
            <w:tcW w:w="679" w:type="dxa"/>
            <w:gridSpan w:val="2"/>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hint="eastAsia" w:ascii="Times New Roman" w:hAnsi="Times New Roman" w:cs="Times New Roman"/>
                <w:sz w:val="20"/>
                <w:szCs w:val="20"/>
              </w:rPr>
              <w:t>其它</w:t>
            </w:r>
          </w:p>
        </w:tc>
        <w:tc>
          <w:tcPr>
            <w:tcW w:w="373" w:type="dxa"/>
            <w:tcBorders>
              <w:top w:val="single" w:color="000000" w:sz="6" w:space="0"/>
              <w:left w:val="nil"/>
              <w:bottom w:val="single" w:color="000000" w:sz="6" w:space="0"/>
              <w:right w:val="single" w:color="000000" w:sz="6" w:space="0"/>
            </w:tcBorders>
            <w:vAlign w:val="center"/>
          </w:tcPr>
          <w:p>
            <w:pPr>
              <w:rPr>
                <w:rFonts w:ascii="Times New Roman" w:hAnsi="Times New Roman" w:cs="Times New Roman"/>
                <w:sz w:val="20"/>
                <w:szCs w:val="20"/>
              </w:rPr>
            </w:pPr>
            <w:r>
              <w:rPr>
                <w:rFonts w:ascii="Times New Roman" w:hAnsi="Times New Roman" w:cs="Times New Roman"/>
                <w:sz w:val="20"/>
                <w:szCs w:val="20"/>
              </w:rPr>
              <w:t>5</w:t>
            </w:r>
          </w:p>
        </w:tc>
      </w:tr>
      <w:tr>
        <w:tblPrEx>
          <w:tblCellMar>
            <w:top w:w="0" w:type="dxa"/>
            <w:left w:w="0" w:type="dxa"/>
            <w:bottom w:w="0" w:type="dxa"/>
            <w:right w:w="0" w:type="dxa"/>
          </w:tblCellMar>
        </w:tblPrEx>
        <w:trPr>
          <w:trHeight w:val="836" w:hRule="atLeast"/>
          <w:jc w:val="center"/>
        </w:trPr>
        <w:tc>
          <w:tcPr>
            <w:tcW w:w="615" w:type="dxa"/>
            <w:gridSpan w:val="2"/>
            <w:vMerge w:val="restart"/>
            <w:tcBorders>
              <w:top w:val="nil"/>
              <w:left w:val="single" w:color="000000" w:sz="6" w:space="0"/>
              <w:bottom w:val="single" w:color="000000" w:sz="6" w:space="0"/>
              <w:right w:val="single" w:color="000000" w:sz="6" w:space="0"/>
            </w:tcBorders>
            <w:vAlign w:val="center"/>
          </w:tcPr>
          <w:p>
            <w:pPr>
              <w:pStyle w:val="27"/>
              <w:wordWrap w:val="0"/>
              <w:ind w:firstLine="0"/>
              <w:rPr>
                <w:rFonts w:cs="Times New Roman"/>
                <w:spacing w:val="15"/>
                <w:sz w:val="21"/>
                <w:szCs w:val="21"/>
              </w:rPr>
            </w:pPr>
            <w:r>
              <w:rPr>
                <w:rFonts w:hint="eastAsia" w:cs="Times New Roman"/>
                <w:spacing w:val="15"/>
                <w:sz w:val="21"/>
                <w:szCs w:val="21"/>
              </w:rPr>
              <w:t xml:space="preserve">主要研究人员 </w:t>
            </w:r>
          </w:p>
        </w:tc>
        <w:tc>
          <w:tcPr>
            <w:tcW w:w="899" w:type="dxa"/>
            <w:gridSpan w:val="3"/>
            <w:tcBorders>
              <w:top w:val="single" w:color="000000" w:sz="6" w:space="0"/>
              <w:left w:val="nil"/>
              <w:bottom w:val="single" w:color="000000" w:sz="6" w:space="0"/>
              <w:right w:val="single" w:color="000000" w:sz="6" w:space="0"/>
            </w:tcBorders>
            <w:vAlign w:val="center"/>
          </w:tcPr>
          <w:p>
            <w:pPr>
              <w:pStyle w:val="27"/>
              <w:wordWrap w:val="0"/>
              <w:ind w:firstLine="0"/>
              <w:rPr>
                <w:rFonts w:cs="Times New Roman"/>
                <w:spacing w:val="15"/>
                <w:sz w:val="21"/>
                <w:szCs w:val="21"/>
              </w:rPr>
            </w:pPr>
            <w:r>
              <w:rPr>
                <w:rFonts w:hint="eastAsia" w:cs="Times New Roman"/>
                <w:spacing w:val="15"/>
                <w:sz w:val="21"/>
                <w:szCs w:val="21"/>
              </w:rPr>
              <w:t>姓名</w:t>
            </w:r>
          </w:p>
        </w:tc>
        <w:tc>
          <w:tcPr>
            <w:tcW w:w="611" w:type="dxa"/>
            <w:gridSpan w:val="2"/>
            <w:tcBorders>
              <w:top w:val="single" w:color="000000" w:sz="6" w:space="0"/>
              <w:left w:val="nil"/>
              <w:bottom w:val="single" w:color="000000" w:sz="6" w:space="0"/>
              <w:right w:val="single" w:color="000000" w:sz="6" w:space="0"/>
            </w:tcBorders>
            <w:vAlign w:val="center"/>
          </w:tcPr>
          <w:p>
            <w:pPr>
              <w:pStyle w:val="27"/>
              <w:wordWrap w:val="0"/>
              <w:ind w:firstLine="0"/>
              <w:rPr>
                <w:rFonts w:cs="Times New Roman"/>
                <w:spacing w:val="15"/>
                <w:sz w:val="21"/>
                <w:szCs w:val="21"/>
              </w:rPr>
            </w:pPr>
            <w:r>
              <w:rPr>
                <w:rFonts w:hint="eastAsia" w:cs="Times New Roman"/>
                <w:spacing w:val="15"/>
                <w:sz w:val="21"/>
                <w:szCs w:val="21"/>
              </w:rPr>
              <w:t>性别</w:t>
            </w:r>
          </w:p>
        </w:tc>
        <w:tc>
          <w:tcPr>
            <w:tcW w:w="561" w:type="dxa"/>
            <w:tcBorders>
              <w:top w:val="single" w:color="000000" w:sz="6" w:space="0"/>
              <w:left w:val="nil"/>
              <w:bottom w:val="single" w:color="000000" w:sz="6" w:space="0"/>
              <w:right w:val="single" w:color="000000" w:sz="6" w:space="0"/>
            </w:tcBorders>
            <w:vAlign w:val="center"/>
          </w:tcPr>
          <w:p>
            <w:pPr>
              <w:pStyle w:val="27"/>
              <w:wordWrap w:val="0"/>
              <w:ind w:firstLine="0"/>
              <w:rPr>
                <w:rFonts w:cs="Times New Roman"/>
                <w:spacing w:val="15"/>
                <w:sz w:val="21"/>
                <w:szCs w:val="21"/>
              </w:rPr>
            </w:pPr>
            <w:r>
              <w:rPr>
                <w:rFonts w:hint="eastAsia" w:cs="Times New Roman"/>
                <w:spacing w:val="15"/>
                <w:sz w:val="21"/>
                <w:szCs w:val="21"/>
              </w:rPr>
              <w:t>年龄</w:t>
            </w:r>
          </w:p>
        </w:tc>
        <w:tc>
          <w:tcPr>
            <w:tcW w:w="1150" w:type="dxa"/>
            <w:gridSpan w:val="4"/>
            <w:tcBorders>
              <w:top w:val="single" w:color="000000" w:sz="6" w:space="0"/>
              <w:left w:val="nil"/>
              <w:bottom w:val="single" w:color="000000" w:sz="6" w:space="0"/>
              <w:right w:val="single" w:color="000000" w:sz="6" w:space="0"/>
            </w:tcBorders>
            <w:vAlign w:val="center"/>
          </w:tcPr>
          <w:p>
            <w:pPr>
              <w:pStyle w:val="27"/>
              <w:wordWrap w:val="0"/>
              <w:ind w:firstLine="0"/>
              <w:rPr>
                <w:rFonts w:cs="Times New Roman"/>
                <w:spacing w:val="15"/>
                <w:sz w:val="21"/>
                <w:szCs w:val="21"/>
              </w:rPr>
            </w:pPr>
            <w:r>
              <w:rPr>
                <w:rFonts w:hint="eastAsia" w:cs="Times New Roman"/>
                <w:spacing w:val="15"/>
                <w:sz w:val="21"/>
                <w:szCs w:val="21"/>
              </w:rPr>
              <w:t>学历</w:t>
            </w:r>
          </w:p>
        </w:tc>
        <w:tc>
          <w:tcPr>
            <w:tcW w:w="642" w:type="dxa"/>
            <w:tcBorders>
              <w:top w:val="single" w:color="000000" w:sz="6" w:space="0"/>
              <w:left w:val="nil"/>
              <w:bottom w:val="single" w:color="000000" w:sz="6" w:space="0"/>
              <w:right w:val="single" w:color="000000" w:sz="6" w:space="0"/>
            </w:tcBorders>
            <w:vAlign w:val="center"/>
          </w:tcPr>
          <w:p>
            <w:pPr>
              <w:pStyle w:val="27"/>
              <w:wordWrap w:val="0"/>
              <w:ind w:firstLine="0"/>
              <w:rPr>
                <w:rFonts w:cs="Times New Roman"/>
                <w:spacing w:val="15"/>
                <w:sz w:val="21"/>
                <w:szCs w:val="21"/>
              </w:rPr>
            </w:pPr>
            <w:r>
              <w:rPr>
                <w:rFonts w:hint="eastAsia" w:cs="Times New Roman"/>
                <w:spacing w:val="15"/>
                <w:sz w:val="21"/>
                <w:szCs w:val="21"/>
              </w:rPr>
              <w:t>职称</w:t>
            </w:r>
          </w:p>
        </w:tc>
        <w:tc>
          <w:tcPr>
            <w:tcW w:w="1484" w:type="dxa"/>
            <w:gridSpan w:val="2"/>
            <w:tcBorders>
              <w:top w:val="single" w:color="000000" w:sz="6" w:space="0"/>
              <w:left w:val="nil"/>
              <w:bottom w:val="single" w:color="000000" w:sz="6" w:space="0"/>
              <w:right w:val="single" w:color="000000" w:sz="6" w:space="0"/>
            </w:tcBorders>
            <w:vAlign w:val="center"/>
          </w:tcPr>
          <w:p>
            <w:pPr>
              <w:pStyle w:val="27"/>
              <w:wordWrap w:val="0"/>
              <w:rPr>
                <w:rFonts w:cs="Times New Roman"/>
                <w:spacing w:val="15"/>
                <w:sz w:val="21"/>
                <w:szCs w:val="21"/>
              </w:rPr>
            </w:pPr>
            <w:r>
              <w:rPr>
                <w:rFonts w:hint="eastAsia" w:cs="Times New Roman"/>
                <w:spacing w:val="15"/>
                <w:sz w:val="21"/>
                <w:szCs w:val="21"/>
              </w:rPr>
              <w:t>从事专业</w:t>
            </w:r>
          </w:p>
        </w:tc>
        <w:tc>
          <w:tcPr>
            <w:tcW w:w="2332" w:type="dxa"/>
            <w:gridSpan w:val="11"/>
            <w:tcBorders>
              <w:top w:val="single" w:color="000000" w:sz="6" w:space="0"/>
              <w:left w:val="nil"/>
              <w:bottom w:val="single" w:color="000000" w:sz="6" w:space="0"/>
              <w:right w:val="single" w:color="000000" w:sz="6" w:space="0"/>
            </w:tcBorders>
            <w:vAlign w:val="center"/>
          </w:tcPr>
          <w:p>
            <w:pPr>
              <w:pStyle w:val="27"/>
              <w:wordWrap w:val="0"/>
              <w:jc w:val="center"/>
              <w:rPr>
                <w:rFonts w:cs="Times New Roman"/>
                <w:spacing w:val="15"/>
                <w:sz w:val="21"/>
                <w:szCs w:val="21"/>
              </w:rPr>
            </w:pPr>
            <w:r>
              <w:rPr>
                <w:rFonts w:hint="eastAsia" w:cs="Times New Roman"/>
                <w:spacing w:val="15"/>
                <w:sz w:val="21"/>
                <w:szCs w:val="21"/>
              </w:rPr>
              <w:t>所在单位</w:t>
            </w:r>
          </w:p>
        </w:tc>
        <w:tc>
          <w:tcPr>
            <w:tcW w:w="28" w:type="dxa"/>
            <w:vAlign w:val="center"/>
          </w:tcPr>
          <w:p>
            <w:pPr>
              <w:rPr>
                <w:rFonts w:ascii="Times New Roman" w:hAnsi="Times New Roman" w:eastAsia="Times New Roman" w:cs="Times New Roman"/>
                <w:sz w:val="20"/>
                <w:szCs w:val="20"/>
              </w:rPr>
            </w:pPr>
          </w:p>
        </w:tc>
      </w:tr>
      <w:tr>
        <w:tblPrEx>
          <w:tblCellMar>
            <w:top w:w="0" w:type="dxa"/>
            <w:left w:w="0" w:type="dxa"/>
            <w:bottom w:w="0" w:type="dxa"/>
            <w:right w:w="0" w:type="dxa"/>
          </w:tblCellMar>
        </w:tblPrEx>
        <w:trPr>
          <w:trHeight w:val="541" w:hRule="atLeast"/>
          <w:jc w:val="center"/>
        </w:trPr>
        <w:tc>
          <w:tcPr>
            <w:tcW w:w="615" w:type="dxa"/>
            <w:gridSpan w:val="2"/>
            <w:vMerge w:val="continue"/>
            <w:tcBorders>
              <w:top w:val="nil"/>
              <w:left w:val="single" w:color="000000" w:sz="6" w:space="0"/>
              <w:bottom w:val="single" w:color="000000" w:sz="6" w:space="0"/>
              <w:right w:val="single" w:color="000000" w:sz="6" w:space="0"/>
            </w:tcBorders>
            <w:vAlign w:val="center"/>
          </w:tcPr>
          <w:p>
            <w:pPr>
              <w:pStyle w:val="27"/>
              <w:ind w:firstLine="0"/>
              <w:rPr>
                <w:rFonts w:cs="Times New Roman"/>
                <w:spacing w:val="15"/>
                <w:sz w:val="21"/>
                <w:szCs w:val="21"/>
              </w:rPr>
            </w:pPr>
          </w:p>
        </w:tc>
        <w:tc>
          <w:tcPr>
            <w:tcW w:w="899" w:type="dxa"/>
            <w:gridSpan w:val="3"/>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吴云峰</w:t>
            </w:r>
          </w:p>
        </w:tc>
        <w:tc>
          <w:tcPr>
            <w:tcW w:w="611" w:type="dxa"/>
            <w:gridSpan w:val="2"/>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男</w:t>
            </w:r>
          </w:p>
        </w:tc>
        <w:tc>
          <w:tcPr>
            <w:tcW w:w="561" w:type="dxa"/>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48</w:t>
            </w:r>
          </w:p>
        </w:tc>
        <w:tc>
          <w:tcPr>
            <w:tcW w:w="1150" w:type="dxa"/>
            <w:gridSpan w:val="4"/>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博士研究生</w:t>
            </w:r>
          </w:p>
        </w:tc>
        <w:tc>
          <w:tcPr>
            <w:tcW w:w="642" w:type="dxa"/>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副高</w:t>
            </w:r>
          </w:p>
        </w:tc>
        <w:tc>
          <w:tcPr>
            <w:tcW w:w="1484" w:type="dxa"/>
            <w:gridSpan w:val="2"/>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电气工程</w:t>
            </w:r>
          </w:p>
        </w:tc>
        <w:tc>
          <w:tcPr>
            <w:tcW w:w="2332" w:type="dxa"/>
            <w:gridSpan w:val="11"/>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电子科技大学</w:t>
            </w:r>
          </w:p>
        </w:tc>
        <w:tc>
          <w:tcPr>
            <w:tcW w:w="28" w:type="dxa"/>
            <w:vAlign w:val="center"/>
          </w:tcPr>
          <w:p>
            <w:pPr>
              <w:rPr>
                <w:rFonts w:ascii="Times New Roman" w:hAnsi="Times New Roman" w:eastAsia="Times New Roman" w:cs="Times New Roman"/>
                <w:sz w:val="20"/>
                <w:szCs w:val="20"/>
              </w:rPr>
            </w:pPr>
          </w:p>
        </w:tc>
      </w:tr>
      <w:tr>
        <w:tblPrEx>
          <w:tblCellMar>
            <w:top w:w="0" w:type="dxa"/>
            <w:left w:w="0" w:type="dxa"/>
            <w:bottom w:w="0" w:type="dxa"/>
            <w:right w:w="0" w:type="dxa"/>
          </w:tblCellMar>
        </w:tblPrEx>
        <w:trPr>
          <w:trHeight w:val="358" w:hRule="atLeast"/>
          <w:jc w:val="center"/>
        </w:trPr>
        <w:tc>
          <w:tcPr>
            <w:tcW w:w="615" w:type="dxa"/>
            <w:gridSpan w:val="2"/>
            <w:vMerge w:val="continue"/>
            <w:tcBorders>
              <w:top w:val="nil"/>
              <w:left w:val="single" w:color="000000" w:sz="6" w:space="0"/>
              <w:bottom w:val="single" w:color="000000" w:sz="6" w:space="0"/>
              <w:right w:val="single" w:color="000000" w:sz="6" w:space="0"/>
            </w:tcBorders>
            <w:vAlign w:val="center"/>
          </w:tcPr>
          <w:p>
            <w:pPr>
              <w:pStyle w:val="27"/>
              <w:wordWrap w:val="0"/>
              <w:ind w:firstLine="0"/>
              <w:rPr>
                <w:rFonts w:cs="Times New Roman"/>
                <w:spacing w:val="15"/>
                <w:sz w:val="21"/>
                <w:szCs w:val="21"/>
              </w:rPr>
            </w:pPr>
          </w:p>
        </w:tc>
        <w:tc>
          <w:tcPr>
            <w:tcW w:w="899" w:type="dxa"/>
            <w:gridSpan w:val="3"/>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薛志航</w:t>
            </w:r>
          </w:p>
        </w:tc>
        <w:tc>
          <w:tcPr>
            <w:tcW w:w="611" w:type="dxa"/>
            <w:gridSpan w:val="2"/>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男</w:t>
            </w:r>
          </w:p>
        </w:tc>
        <w:tc>
          <w:tcPr>
            <w:tcW w:w="561" w:type="dxa"/>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cs="Times New Roman"/>
                <w:spacing w:val="15"/>
                <w:sz w:val="20"/>
                <w:szCs w:val="20"/>
              </w:rPr>
              <w:t>3</w:t>
            </w:r>
            <w:r>
              <w:rPr>
                <w:rFonts w:cs="Times New Roman"/>
                <w:spacing w:val="15"/>
                <w:sz w:val="20"/>
                <w:szCs w:val="20"/>
              </w:rPr>
              <w:t>4</w:t>
            </w:r>
          </w:p>
        </w:tc>
        <w:tc>
          <w:tcPr>
            <w:tcW w:w="1150" w:type="dxa"/>
            <w:gridSpan w:val="4"/>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cs="Times New Roman"/>
                <w:spacing w:val="15"/>
                <w:sz w:val="20"/>
                <w:szCs w:val="20"/>
              </w:rPr>
              <w:t>博士研究生</w:t>
            </w:r>
          </w:p>
        </w:tc>
        <w:tc>
          <w:tcPr>
            <w:tcW w:w="642" w:type="dxa"/>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cs="Times New Roman"/>
                <w:spacing w:val="15"/>
                <w:sz w:val="20"/>
                <w:szCs w:val="20"/>
              </w:rPr>
              <w:t>其他</w:t>
            </w:r>
          </w:p>
        </w:tc>
        <w:tc>
          <w:tcPr>
            <w:tcW w:w="1484" w:type="dxa"/>
            <w:gridSpan w:val="2"/>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cs="Times New Roman"/>
                <w:spacing w:val="15"/>
                <w:sz w:val="20"/>
                <w:szCs w:val="20"/>
              </w:rPr>
              <w:t>电气设备可靠性</w:t>
            </w:r>
          </w:p>
        </w:tc>
        <w:tc>
          <w:tcPr>
            <w:tcW w:w="2332" w:type="dxa"/>
            <w:gridSpan w:val="11"/>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电子科技大学</w:t>
            </w:r>
          </w:p>
        </w:tc>
        <w:tc>
          <w:tcPr>
            <w:tcW w:w="28" w:type="dxa"/>
            <w:vAlign w:val="center"/>
          </w:tcPr>
          <w:p>
            <w:pPr>
              <w:rPr>
                <w:rFonts w:ascii="Times New Roman" w:hAnsi="Times New Roman" w:eastAsia="Times New Roman" w:cs="Times New Roman"/>
                <w:sz w:val="20"/>
                <w:szCs w:val="20"/>
              </w:rPr>
            </w:pPr>
          </w:p>
        </w:tc>
      </w:tr>
      <w:tr>
        <w:tblPrEx>
          <w:tblCellMar>
            <w:top w:w="0" w:type="dxa"/>
            <w:left w:w="0" w:type="dxa"/>
            <w:bottom w:w="0" w:type="dxa"/>
            <w:right w:w="0" w:type="dxa"/>
          </w:tblCellMar>
        </w:tblPrEx>
        <w:trPr>
          <w:trHeight w:val="363" w:hRule="atLeast"/>
          <w:jc w:val="center"/>
        </w:trPr>
        <w:tc>
          <w:tcPr>
            <w:tcW w:w="615" w:type="dxa"/>
            <w:gridSpan w:val="2"/>
            <w:vMerge w:val="continue"/>
            <w:tcBorders>
              <w:top w:val="nil"/>
              <w:left w:val="single" w:color="000000" w:sz="6" w:space="0"/>
              <w:bottom w:val="single" w:color="000000" w:sz="6" w:space="0"/>
              <w:right w:val="single" w:color="000000" w:sz="6" w:space="0"/>
            </w:tcBorders>
            <w:vAlign w:val="center"/>
          </w:tcPr>
          <w:p>
            <w:pPr>
              <w:pStyle w:val="27"/>
              <w:wordWrap w:val="0"/>
              <w:ind w:firstLine="0"/>
              <w:rPr>
                <w:rFonts w:cs="Times New Roman"/>
                <w:spacing w:val="15"/>
                <w:sz w:val="21"/>
                <w:szCs w:val="21"/>
              </w:rPr>
            </w:pPr>
          </w:p>
        </w:tc>
        <w:tc>
          <w:tcPr>
            <w:tcW w:w="899" w:type="dxa"/>
            <w:gridSpan w:val="3"/>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陈中舒</w:t>
            </w:r>
          </w:p>
        </w:tc>
        <w:tc>
          <w:tcPr>
            <w:tcW w:w="611" w:type="dxa"/>
            <w:gridSpan w:val="2"/>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男</w:t>
            </w:r>
          </w:p>
        </w:tc>
        <w:tc>
          <w:tcPr>
            <w:tcW w:w="561" w:type="dxa"/>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25</w:t>
            </w:r>
          </w:p>
        </w:tc>
        <w:tc>
          <w:tcPr>
            <w:tcW w:w="1150" w:type="dxa"/>
            <w:gridSpan w:val="4"/>
            <w:tcBorders>
              <w:top w:val="single" w:color="000000" w:sz="6" w:space="0"/>
              <w:left w:val="nil"/>
              <w:bottom w:val="single" w:color="000000" w:sz="6" w:space="0"/>
              <w:right w:val="single" w:color="000000" w:sz="6" w:space="0"/>
            </w:tcBorders>
            <w:vAlign w:val="center"/>
          </w:tcPr>
          <w:p>
            <w:pPr>
              <w:pStyle w:val="27"/>
              <w:ind w:firstLine="0"/>
              <w:rPr>
                <w:rFonts w:cs="Times New Roman"/>
                <w:spacing w:val="15"/>
                <w:sz w:val="20"/>
                <w:szCs w:val="20"/>
              </w:rPr>
            </w:pPr>
            <w:r>
              <w:rPr>
                <w:rFonts w:hint="eastAsia" w:ascii="Times New Roman" w:hAnsi="Times New Roman" w:cs="Times New Roman"/>
                <w:sz w:val="20"/>
                <w:szCs w:val="20"/>
              </w:rPr>
              <w:t>博士研究生</w:t>
            </w:r>
          </w:p>
        </w:tc>
        <w:tc>
          <w:tcPr>
            <w:tcW w:w="642" w:type="dxa"/>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其他</w:t>
            </w:r>
          </w:p>
        </w:tc>
        <w:tc>
          <w:tcPr>
            <w:tcW w:w="1484" w:type="dxa"/>
            <w:gridSpan w:val="2"/>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工业机器视觉</w:t>
            </w:r>
          </w:p>
        </w:tc>
        <w:tc>
          <w:tcPr>
            <w:tcW w:w="2332" w:type="dxa"/>
            <w:gridSpan w:val="11"/>
            <w:tcBorders>
              <w:top w:val="single" w:color="000000" w:sz="6" w:space="0"/>
              <w:left w:val="nil"/>
              <w:bottom w:val="single" w:color="000000" w:sz="6" w:space="0"/>
              <w:right w:val="single" w:color="000000" w:sz="6" w:space="0"/>
            </w:tcBorders>
            <w:vAlign w:val="center"/>
          </w:tcPr>
          <w:p>
            <w:pPr>
              <w:pStyle w:val="27"/>
              <w:ind w:firstLine="0"/>
              <w:jc w:val="center"/>
              <w:rPr>
                <w:rFonts w:cs="Times New Roman"/>
                <w:spacing w:val="15"/>
                <w:sz w:val="20"/>
                <w:szCs w:val="20"/>
              </w:rPr>
            </w:pPr>
            <w:r>
              <w:rPr>
                <w:rFonts w:hint="eastAsia" w:ascii="Times New Roman" w:hAnsi="Times New Roman" w:cs="Times New Roman"/>
                <w:sz w:val="20"/>
                <w:szCs w:val="20"/>
              </w:rPr>
              <w:t>电子科技大学</w:t>
            </w:r>
          </w:p>
        </w:tc>
        <w:tc>
          <w:tcPr>
            <w:tcW w:w="28" w:type="dxa"/>
            <w:vAlign w:val="center"/>
          </w:tcPr>
          <w:p>
            <w:pPr>
              <w:rPr>
                <w:rFonts w:ascii="Times New Roman" w:hAnsi="Times New Roman" w:eastAsia="Times New Roman" w:cs="Times New Roman"/>
                <w:sz w:val="20"/>
                <w:szCs w:val="20"/>
              </w:rPr>
            </w:pPr>
          </w:p>
        </w:tc>
      </w:tr>
      <w:tr>
        <w:tblPrEx>
          <w:tblCellMar>
            <w:top w:w="0" w:type="dxa"/>
            <w:left w:w="0" w:type="dxa"/>
            <w:bottom w:w="0" w:type="dxa"/>
            <w:right w:w="0" w:type="dxa"/>
          </w:tblCellMar>
        </w:tblPrEx>
        <w:trPr>
          <w:trHeight w:val="405" w:hRule="atLeast"/>
          <w:jc w:val="center"/>
        </w:trPr>
        <w:tc>
          <w:tcPr>
            <w:tcW w:w="615" w:type="dxa"/>
            <w:gridSpan w:val="2"/>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899" w:type="dxa"/>
            <w:gridSpan w:val="3"/>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胡建</w:t>
            </w:r>
          </w:p>
        </w:tc>
        <w:tc>
          <w:tcPr>
            <w:tcW w:w="611" w:type="dxa"/>
            <w:gridSpan w:val="2"/>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男</w:t>
            </w:r>
          </w:p>
        </w:tc>
        <w:tc>
          <w:tcPr>
            <w:tcW w:w="561" w:type="dxa"/>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2</w:t>
            </w:r>
            <w:r>
              <w:rPr>
                <w:rFonts w:ascii="Times New Roman" w:hAnsi="Times New Roman" w:cs="Times New Roman"/>
                <w:sz w:val="20"/>
                <w:szCs w:val="20"/>
              </w:rPr>
              <w:t>5</w:t>
            </w:r>
          </w:p>
        </w:tc>
        <w:tc>
          <w:tcPr>
            <w:tcW w:w="1150" w:type="dxa"/>
            <w:gridSpan w:val="4"/>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硕士</w:t>
            </w:r>
          </w:p>
        </w:tc>
        <w:tc>
          <w:tcPr>
            <w:tcW w:w="642" w:type="dxa"/>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其他</w:t>
            </w:r>
          </w:p>
        </w:tc>
        <w:tc>
          <w:tcPr>
            <w:tcW w:w="1484" w:type="dxa"/>
            <w:gridSpan w:val="2"/>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软件工程</w:t>
            </w:r>
          </w:p>
        </w:tc>
        <w:tc>
          <w:tcPr>
            <w:tcW w:w="2332" w:type="dxa"/>
            <w:gridSpan w:val="11"/>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电子科技大学</w:t>
            </w:r>
          </w:p>
        </w:tc>
        <w:tc>
          <w:tcPr>
            <w:tcW w:w="28" w:type="dxa"/>
            <w:vAlign w:val="center"/>
          </w:tcPr>
          <w:p>
            <w:pPr>
              <w:rPr>
                <w:rFonts w:ascii="Times New Roman" w:hAnsi="Times New Roman" w:eastAsia="Times New Roman" w:cs="Times New Roman"/>
                <w:sz w:val="20"/>
                <w:szCs w:val="20"/>
              </w:rPr>
            </w:pPr>
          </w:p>
        </w:tc>
      </w:tr>
      <w:tr>
        <w:tblPrEx>
          <w:tblCellMar>
            <w:top w:w="0" w:type="dxa"/>
            <w:left w:w="0" w:type="dxa"/>
            <w:bottom w:w="0" w:type="dxa"/>
            <w:right w:w="0" w:type="dxa"/>
          </w:tblCellMar>
        </w:tblPrEx>
        <w:trPr>
          <w:trHeight w:val="405" w:hRule="atLeast"/>
          <w:jc w:val="center"/>
        </w:trPr>
        <w:tc>
          <w:tcPr>
            <w:tcW w:w="615" w:type="dxa"/>
            <w:gridSpan w:val="2"/>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899" w:type="dxa"/>
            <w:gridSpan w:val="3"/>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罗茂林</w:t>
            </w:r>
          </w:p>
        </w:tc>
        <w:tc>
          <w:tcPr>
            <w:tcW w:w="611" w:type="dxa"/>
            <w:gridSpan w:val="2"/>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男</w:t>
            </w:r>
          </w:p>
        </w:tc>
        <w:tc>
          <w:tcPr>
            <w:tcW w:w="561" w:type="dxa"/>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2</w:t>
            </w:r>
            <w:r>
              <w:rPr>
                <w:rFonts w:ascii="Times New Roman" w:hAnsi="Times New Roman" w:cs="Times New Roman"/>
                <w:sz w:val="20"/>
                <w:szCs w:val="20"/>
              </w:rPr>
              <w:t>5</w:t>
            </w:r>
          </w:p>
        </w:tc>
        <w:tc>
          <w:tcPr>
            <w:tcW w:w="1150" w:type="dxa"/>
            <w:gridSpan w:val="4"/>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硕士</w:t>
            </w:r>
          </w:p>
        </w:tc>
        <w:tc>
          <w:tcPr>
            <w:tcW w:w="642" w:type="dxa"/>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其他</w:t>
            </w:r>
          </w:p>
        </w:tc>
        <w:tc>
          <w:tcPr>
            <w:tcW w:w="1484" w:type="dxa"/>
            <w:gridSpan w:val="2"/>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电气工程</w:t>
            </w:r>
          </w:p>
        </w:tc>
        <w:tc>
          <w:tcPr>
            <w:tcW w:w="2332" w:type="dxa"/>
            <w:gridSpan w:val="11"/>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电子科技大学</w:t>
            </w:r>
          </w:p>
        </w:tc>
        <w:tc>
          <w:tcPr>
            <w:tcW w:w="28" w:type="dxa"/>
            <w:vAlign w:val="center"/>
          </w:tcPr>
          <w:p>
            <w:pPr>
              <w:rPr>
                <w:rFonts w:ascii="Times New Roman" w:hAnsi="Times New Roman" w:eastAsia="Times New Roman" w:cs="Times New Roman"/>
                <w:sz w:val="20"/>
                <w:szCs w:val="20"/>
              </w:rPr>
            </w:pPr>
          </w:p>
        </w:tc>
      </w:tr>
      <w:tr>
        <w:tblPrEx>
          <w:tblCellMar>
            <w:top w:w="0" w:type="dxa"/>
            <w:left w:w="0" w:type="dxa"/>
            <w:bottom w:w="0" w:type="dxa"/>
            <w:right w:w="0" w:type="dxa"/>
          </w:tblCellMar>
        </w:tblPrEx>
        <w:trPr>
          <w:trHeight w:val="405" w:hRule="atLeast"/>
          <w:jc w:val="center"/>
        </w:trPr>
        <w:tc>
          <w:tcPr>
            <w:tcW w:w="615" w:type="dxa"/>
            <w:gridSpan w:val="2"/>
            <w:vMerge w:val="continue"/>
            <w:tcBorders>
              <w:top w:val="nil"/>
              <w:left w:val="single" w:color="000000" w:sz="6" w:space="0"/>
              <w:bottom w:val="single" w:color="000000" w:sz="6" w:space="0"/>
              <w:right w:val="single" w:color="000000" w:sz="6" w:space="0"/>
            </w:tcBorders>
            <w:vAlign w:val="center"/>
          </w:tcPr>
          <w:p>
            <w:pPr>
              <w:rPr>
                <w:rFonts w:cs="Times New Roman"/>
                <w:spacing w:val="15"/>
                <w:sz w:val="21"/>
                <w:szCs w:val="21"/>
              </w:rPr>
            </w:pPr>
          </w:p>
        </w:tc>
        <w:tc>
          <w:tcPr>
            <w:tcW w:w="899" w:type="dxa"/>
            <w:gridSpan w:val="3"/>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李佳航</w:t>
            </w:r>
          </w:p>
        </w:tc>
        <w:tc>
          <w:tcPr>
            <w:tcW w:w="611" w:type="dxa"/>
            <w:gridSpan w:val="2"/>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男</w:t>
            </w:r>
          </w:p>
        </w:tc>
        <w:tc>
          <w:tcPr>
            <w:tcW w:w="561" w:type="dxa"/>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2</w:t>
            </w:r>
            <w:r>
              <w:rPr>
                <w:rFonts w:ascii="Times New Roman" w:hAnsi="Times New Roman" w:cs="Times New Roman"/>
                <w:sz w:val="20"/>
                <w:szCs w:val="20"/>
              </w:rPr>
              <w:t>5</w:t>
            </w:r>
          </w:p>
        </w:tc>
        <w:tc>
          <w:tcPr>
            <w:tcW w:w="1150" w:type="dxa"/>
            <w:gridSpan w:val="4"/>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硕士</w:t>
            </w:r>
          </w:p>
        </w:tc>
        <w:tc>
          <w:tcPr>
            <w:tcW w:w="642" w:type="dxa"/>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其他</w:t>
            </w:r>
          </w:p>
        </w:tc>
        <w:tc>
          <w:tcPr>
            <w:tcW w:w="1484" w:type="dxa"/>
            <w:gridSpan w:val="2"/>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软件工程</w:t>
            </w:r>
          </w:p>
        </w:tc>
        <w:tc>
          <w:tcPr>
            <w:tcW w:w="2332" w:type="dxa"/>
            <w:gridSpan w:val="11"/>
            <w:tcBorders>
              <w:top w:val="single" w:color="000000" w:sz="6" w:space="0"/>
              <w:left w:val="nil"/>
              <w:bottom w:val="single" w:color="000000" w:sz="6" w:space="0"/>
              <w:right w:val="single" w:color="000000" w:sz="6" w:space="0"/>
            </w:tcBorders>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电子科技大学</w:t>
            </w:r>
          </w:p>
        </w:tc>
        <w:tc>
          <w:tcPr>
            <w:tcW w:w="28" w:type="dxa"/>
            <w:vAlign w:val="center"/>
          </w:tcPr>
          <w:p>
            <w:pPr>
              <w:rPr>
                <w:rFonts w:ascii="Times New Roman" w:hAnsi="Times New Roman" w:eastAsia="Times New Roman" w:cs="Times New Roman"/>
                <w:sz w:val="20"/>
                <w:szCs w:val="20"/>
              </w:rPr>
            </w:pPr>
          </w:p>
        </w:tc>
      </w:tr>
    </w:tbl>
    <w:p>
      <w:pPr>
        <w:rPr>
          <w:rFonts w:ascii="Times New Roman" w:hAnsi="Times New Roman" w:cs="Times New Roman"/>
          <w:kern w:val="2"/>
          <w:sz w:val="21"/>
          <w:szCs w:val="21"/>
        </w:rPr>
      </w:pPr>
      <w:r>
        <w:rPr>
          <w:rFonts w:ascii="Times New Roman" w:hAnsi="Times New Roman" w:cs="Times New Roman"/>
          <w:kern w:val="2"/>
          <w:sz w:val="21"/>
          <w:szCs w:val="21"/>
        </w:rPr>
        <w:br w:type="page"/>
      </w:r>
    </w:p>
    <w:tbl>
      <w:tblPr>
        <w:tblStyle w:val="16"/>
        <w:tblW w:w="8318" w:type="dxa"/>
        <w:jc w:val="center"/>
        <w:tblLayout w:type="fixed"/>
        <w:tblCellMar>
          <w:top w:w="0" w:type="dxa"/>
          <w:left w:w="0" w:type="dxa"/>
          <w:bottom w:w="0" w:type="dxa"/>
          <w:right w:w="0" w:type="dxa"/>
        </w:tblCellMar>
      </w:tblPr>
      <w:tblGrid>
        <w:gridCol w:w="3834"/>
        <w:gridCol w:w="1433"/>
        <w:gridCol w:w="3051"/>
      </w:tblGrid>
      <w:tr>
        <w:trPr>
          <w:trHeight w:val="570" w:hRule="atLeast"/>
          <w:jc w:val="center"/>
        </w:trPr>
        <w:tc>
          <w:tcPr>
            <w:tcW w:w="8318" w:type="dxa"/>
            <w:gridSpan w:val="3"/>
            <w:tcBorders>
              <w:top w:val="single" w:color="000000" w:sz="6" w:space="0"/>
              <w:left w:val="single" w:color="000000" w:sz="6" w:space="0"/>
              <w:bottom w:val="single" w:color="000000" w:sz="6" w:space="0"/>
              <w:right w:val="single" w:color="000000" w:sz="6" w:space="0"/>
            </w:tcBorders>
            <w:vAlign w:val="center"/>
          </w:tcPr>
          <w:p>
            <w:pPr>
              <w:pStyle w:val="27"/>
              <w:wordWrap w:val="0"/>
              <w:rPr>
                <w:rFonts w:cs="Times New Roman"/>
                <w:b/>
                <w:bCs/>
                <w:spacing w:val="15"/>
                <w:sz w:val="21"/>
                <w:szCs w:val="21"/>
              </w:rPr>
            </w:pPr>
            <w:r>
              <w:rPr>
                <w:rFonts w:hint="eastAsia" w:cs="Times New Roman"/>
                <w:b/>
                <w:bCs/>
                <w:sz w:val="27"/>
                <w:szCs w:val="27"/>
              </w:rPr>
              <w:t>十、审批情况</w:t>
            </w:r>
          </w:p>
        </w:tc>
      </w:tr>
      <w:tr>
        <w:trPr>
          <w:jc w:val="center"/>
        </w:trPr>
        <w:tc>
          <w:tcPr>
            <w:tcW w:w="3834" w:type="dxa"/>
            <w:tcBorders>
              <w:top w:val="single" w:color="000000" w:sz="6" w:space="0"/>
              <w:left w:val="single" w:color="000000" w:sz="6" w:space="0"/>
              <w:bottom w:val="single" w:color="000000" w:sz="6" w:space="0"/>
              <w:right w:val="single" w:color="000000" w:sz="6" w:space="0"/>
            </w:tcBorders>
          </w:tcPr>
          <w:p>
            <w:pPr>
              <w:pStyle w:val="27"/>
              <w:wordWrap w:val="0"/>
              <w:jc w:val="center"/>
              <w:rPr>
                <w:rFonts w:cs="Times New Roman"/>
                <w:spacing w:val="15"/>
                <w:sz w:val="21"/>
                <w:szCs w:val="21"/>
              </w:rPr>
            </w:pPr>
            <w:r>
              <w:rPr>
                <w:rFonts w:hint="eastAsia" w:cs="Times New Roman"/>
                <w:spacing w:val="15"/>
                <w:sz w:val="21"/>
                <w:szCs w:val="21"/>
              </w:rPr>
              <w:t xml:space="preserve">项 目 申 报 单 位 意 见 </w:t>
            </w:r>
          </w:p>
        </w:tc>
        <w:tc>
          <w:tcPr>
            <w:tcW w:w="4484" w:type="dxa"/>
            <w:gridSpan w:val="2"/>
            <w:tcBorders>
              <w:top w:val="single" w:color="000000" w:sz="6" w:space="0"/>
              <w:left w:val="nil"/>
              <w:bottom w:val="single" w:color="000000" w:sz="6" w:space="0"/>
              <w:right w:val="single" w:color="000000" w:sz="6" w:space="0"/>
            </w:tcBorders>
          </w:tcPr>
          <w:p>
            <w:pPr>
              <w:pStyle w:val="27"/>
              <w:wordWrap w:val="0"/>
              <w:jc w:val="center"/>
              <w:rPr>
                <w:rFonts w:cs="Times New Roman"/>
                <w:spacing w:val="15"/>
                <w:sz w:val="21"/>
                <w:szCs w:val="21"/>
              </w:rPr>
            </w:pPr>
            <w:r>
              <w:rPr>
                <w:rFonts w:hint="eastAsia" w:cs="Times New Roman"/>
                <w:spacing w:val="15"/>
                <w:sz w:val="21"/>
                <w:szCs w:val="21"/>
              </w:rPr>
              <w:t>项 目 合 作 单 位 意 见</w:t>
            </w:r>
          </w:p>
        </w:tc>
      </w:tr>
      <w:tr>
        <w:tblPrEx>
          <w:tblCellMar>
            <w:top w:w="0" w:type="dxa"/>
            <w:left w:w="0" w:type="dxa"/>
            <w:bottom w:w="0" w:type="dxa"/>
            <w:right w:w="0" w:type="dxa"/>
          </w:tblCellMar>
        </w:tblPrEx>
        <w:trPr>
          <w:trHeight w:val="6300" w:hRule="atLeast"/>
          <w:jc w:val="center"/>
        </w:trPr>
        <w:tc>
          <w:tcPr>
            <w:tcW w:w="3834" w:type="dxa"/>
            <w:tcBorders>
              <w:top w:val="single" w:color="000000" w:sz="6" w:space="0"/>
              <w:left w:val="single" w:color="000000" w:sz="6" w:space="0"/>
              <w:bottom w:val="single" w:color="FFFFFF" w:sz="6" w:space="0"/>
              <w:right w:val="single" w:color="000000" w:sz="6" w:space="0"/>
            </w:tcBorders>
            <w:vAlign w:val="center"/>
          </w:tcPr>
          <w:p>
            <w:pPr>
              <w:wordWrap w:val="0"/>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ind w:right="336"/>
              <w:jc w:val="right"/>
              <w:rPr>
                <w:spacing w:val="15"/>
                <w:sz w:val="21"/>
                <w:szCs w:val="21"/>
              </w:rPr>
            </w:pPr>
            <w:r>
              <w:rPr>
                <w:rFonts w:hint="eastAsia"/>
                <w:spacing w:val="15"/>
                <w:sz w:val="21"/>
                <w:szCs w:val="21"/>
              </w:rPr>
              <w:t xml:space="preserve">                       (盖章) </w:t>
            </w:r>
          </w:p>
        </w:tc>
        <w:tc>
          <w:tcPr>
            <w:tcW w:w="4484" w:type="dxa"/>
            <w:gridSpan w:val="2"/>
            <w:tcBorders>
              <w:top w:val="single" w:color="000000" w:sz="6" w:space="0"/>
              <w:left w:val="nil"/>
              <w:bottom w:val="single" w:color="FFFFFF" w:sz="6" w:space="0"/>
              <w:right w:val="single" w:color="000000" w:sz="6" w:space="0"/>
            </w:tcBorders>
            <w:vAlign w:val="center"/>
          </w:tcPr>
          <w:p>
            <w:pPr>
              <w:jc w:val="right"/>
              <w:rPr>
                <w:spacing w:val="15"/>
                <w:sz w:val="21"/>
                <w:szCs w:val="21"/>
              </w:rPr>
            </w:pPr>
          </w:p>
          <w:p>
            <w:pPr>
              <w:wordWrap w:val="0"/>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p>
          <w:p>
            <w:pPr>
              <w:jc w:val="right"/>
              <w:rPr>
                <w:spacing w:val="15"/>
                <w:sz w:val="21"/>
                <w:szCs w:val="21"/>
              </w:rPr>
            </w:pPr>
            <w:r>
              <w:rPr>
                <w:rFonts w:hint="eastAsia"/>
                <w:spacing w:val="15"/>
                <w:sz w:val="21"/>
                <w:szCs w:val="21"/>
              </w:rPr>
              <w:t xml:space="preserve">                       (盖章)</w:t>
            </w:r>
          </w:p>
        </w:tc>
      </w:tr>
      <w:tr>
        <w:tblPrEx>
          <w:tblCellMar>
            <w:top w:w="0" w:type="dxa"/>
            <w:left w:w="0" w:type="dxa"/>
            <w:bottom w:w="0" w:type="dxa"/>
            <w:right w:w="0" w:type="dxa"/>
          </w:tblCellMar>
        </w:tblPrEx>
        <w:trPr>
          <w:jc w:val="center"/>
        </w:trPr>
        <w:tc>
          <w:tcPr>
            <w:tcW w:w="8318" w:type="dxa"/>
            <w:gridSpan w:val="3"/>
            <w:tcBorders>
              <w:top w:val="single" w:color="000000" w:sz="6" w:space="0"/>
              <w:left w:val="single" w:color="000000" w:sz="6" w:space="0"/>
              <w:bottom w:val="single" w:color="000000" w:sz="6" w:space="0"/>
              <w:right w:val="single" w:color="000000" w:sz="6" w:space="0"/>
            </w:tcBorders>
            <w:vAlign w:val="center"/>
          </w:tcPr>
          <w:p>
            <w:pPr>
              <w:pStyle w:val="27"/>
              <w:wordWrap w:val="0"/>
              <w:jc w:val="center"/>
              <w:rPr>
                <w:rFonts w:cs="Times New Roman"/>
                <w:spacing w:val="15"/>
                <w:sz w:val="21"/>
                <w:szCs w:val="21"/>
              </w:rPr>
            </w:pPr>
            <w:r>
              <w:rPr>
                <w:rFonts w:hint="eastAsia" w:cs="Times New Roman"/>
                <w:spacing w:val="15"/>
                <w:sz w:val="21"/>
                <w:szCs w:val="21"/>
              </w:rPr>
              <w:t xml:space="preserve">推荐单位意见 </w:t>
            </w:r>
          </w:p>
        </w:tc>
      </w:tr>
      <w:tr>
        <w:tblPrEx>
          <w:tblCellMar>
            <w:top w:w="0" w:type="dxa"/>
            <w:left w:w="0" w:type="dxa"/>
            <w:bottom w:w="0" w:type="dxa"/>
            <w:right w:w="0" w:type="dxa"/>
          </w:tblCellMar>
        </w:tblPrEx>
        <w:trPr>
          <w:trHeight w:val="4500" w:hRule="atLeast"/>
          <w:jc w:val="center"/>
        </w:trPr>
        <w:tc>
          <w:tcPr>
            <w:tcW w:w="8318" w:type="dxa"/>
            <w:gridSpan w:val="3"/>
            <w:tcBorders>
              <w:top w:val="single" w:color="000000" w:sz="6" w:space="0"/>
              <w:left w:val="single" w:color="000000" w:sz="6" w:space="0"/>
              <w:bottom w:val="single" w:color="FFFFFF" w:sz="6" w:space="0"/>
              <w:right w:val="single" w:color="000000" w:sz="6" w:space="0"/>
            </w:tcBorders>
          </w:tcPr>
          <w:p>
            <w:pPr>
              <w:wordWrap w:val="0"/>
              <w:rPr>
                <w:spacing w:val="15"/>
                <w:sz w:val="21"/>
                <w:szCs w:val="21"/>
              </w:rPr>
            </w:pPr>
            <w:r>
              <w:rPr>
                <w:rFonts w:hint="eastAsia"/>
                <w:spacing w:val="15"/>
                <w:sz w:val="21"/>
                <w:szCs w:val="21"/>
              </w:rPr>
              <w:t> </w:t>
            </w:r>
          </w:p>
        </w:tc>
      </w:tr>
      <w:tr>
        <w:tblPrEx>
          <w:tblCellMar>
            <w:top w:w="0" w:type="dxa"/>
            <w:left w:w="0" w:type="dxa"/>
            <w:bottom w:w="0" w:type="dxa"/>
            <w:right w:w="0" w:type="dxa"/>
          </w:tblCellMar>
        </w:tblPrEx>
        <w:trPr>
          <w:jc w:val="center"/>
        </w:trPr>
        <w:tc>
          <w:tcPr>
            <w:tcW w:w="5267" w:type="dxa"/>
            <w:gridSpan w:val="2"/>
            <w:tcBorders>
              <w:top w:val="single" w:color="FFFFFF" w:sz="6" w:space="0"/>
              <w:left w:val="single" w:color="000000" w:sz="6" w:space="0"/>
              <w:bottom w:val="single" w:color="000000" w:sz="6" w:space="0"/>
              <w:right w:val="single" w:color="FFFFFF" w:sz="6" w:space="0"/>
            </w:tcBorders>
            <w:vAlign w:val="center"/>
          </w:tcPr>
          <w:p>
            <w:pPr>
              <w:wordWrap w:val="0"/>
              <w:ind w:right="112"/>
              <w:jc w:val="right"/>
              <w:rPr>
                <w:spacing w:val="15"/>
                <w:sz w:val="21"/>
                <w:szCs w:val="21"/>
              </w:rPr>
            </w:pPr>
          </w:p>
        </w:tc>
        <w:tc>
          <w:tcPr>
            <w:tcW w:w="3051" w:type="dxa"/>
            <w:tcBorders>
              <w:top w:val="single" w:color="FFFFFF" w:sz="6" w:space="0"/>
              <w:left w:val="nil"/>
              <w:bottom w:val="single" w:color="000000" w:sz="6" w:space="0"/>
              <w:right w:val="single" w:color="000000" w:sz="6" w:space="0"/>
            </w:tcBorders>
            <w:vAlign w:val="center"/>
          </w:tcPr>
          <w:p>
            <w:pPr>
              <w:wordWrap w:val="0"/>
              <w:jc w:val="right"/>
              <w:rPr>
                <w:spacing w:val="15"/>
                <w:sz w:val="21"/>
                <w:szCs w:val="21"/>
              </w:rPr>
            </w:pPr>
            <w:r>
              <w:rPr>
                <w:rFonts w:hint="eastAsia"/>
                <w:spacing w:val="15"/>
                <w:sz w:val="21"/>
                <w:szCs w:val="21"/>
              </w:rPr>
              <w:t>(盖章)</w:t>
            </w:r>
          </w:p>
        </w:tc>
      </w:tr>
    </w:tbl>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 xml:space="preserve"> </w:t>
      </w:r>
    </w:p>
    <w:tbl>
      <w:tblPr>
        <w:tblStyle w:val="16"/>
        <w:tblW w:w="8211" w:type="dxa"/>
        <w:jc w:val="center"/>
        <w:tblLayout w:type="fixed"/>
        <w:tblCellMar>
          <w:top w:w="0" w:type="dxa"/>
          <w:left w:w="0" w:type="dxa"/>
          <w:bottom w:w="0" w:type="dxa"/>
          <w:right w:w="0" w:type="dxa"/>
        </w:tblCellMar>
      </w:tblPr>
      <w:tblGrid>
        <w:gridCol w:w="8211"/>
      </w:tblGrid>
      <w:tr>
        <w:tblPrEx>
          <w:tblCellMar>
            <w:top w:w="0" w:type="dxa"/>
            <w:left w:w="0" w:type="dxa"/>
            <w:bottom w:w="0" w:type="dxa"/>
            <w:right w:w="0" w:type="dxa"/>
          </w:tblCellMar>
        </w:tblPrEx>
        <w:trPr>
          <w:trHeight w:val="570" w:hRule="atLeast"/>
          <w:jc w:val="center"/>
        </w:trPr>
        <w:tc>
          <w:tcPr>
            <w:tcW w:w="8211" w:type="dxa"/>
            <w:tcBorders>
              <w:top w:val="single" w:color="000000" w:sz="6" w:space="0"/>
              <w:left w:val="single" w:color="000000" w:sz="6" w:space="0"/>
              <w:bottom w:val="single" w:color="000000" w:sz="6" w:space="0"/>
              <w:right w:val="single" w:color="000000" w:sz="6" w:space="0"/>
            </w:tcBorders>
            <w:vAlign w:val="center"/>
          </w:tcPr>
          <w:p>
            <w:pPr>
              <w:pStyle w:val="27"/>
              <w:wordWrap w:val="0"/>
              <w:rPr>
                <w:rFonts w:cs="Times New Roman"/>
                <w:b/>
                <w:bCs/>
                <w:spacing w:val="15"/>
                <w:sz w:val="21"/>
                <w:szCs w:val="21"/>
              </w:rPr>
            </w:pPr>
            <w:r>
              <w:rPr>
                <w:rFonts w:hint="eastAsia" w:cs="Times New Roman"/>
                <w:b/>
                <w:bCs/>
                <w:sz w:val="27"/>
                <w:szCs w:val="27"/>
              </w:rPr>
              <w:t>十一、申报人承诺</w:t>
            </w:r>
          </w:p>
        </w:tc>
      </w:tr>
      <w:tr>
        <w:tblPrEx>
          <w:tblCellMar>
            <w:top w:w="0" w:type="dxa"/>
            <w:left w:w="0" w:type="dxa"/>
            <w:bottom w:w="0" w:type="dxa"/>
            <w:right w:w="0" w:type="dxa"/>
          </w:tblCellMar>
        </w:tblPrEx>
        <w:trPr>
          <w:trHeight w:val="3583" w:hRule="atLeast"/>
          <w:jc w:val="center"/>
        </w:trPr>
        <w:tc>
          <w:tcPr>
            <w:tcW w:w="8211" w:type="dxa"/>
            <w:tcBorders>
              <w:top w:val="single" w:color="000000" w:sz="6" w:space="0"/>
              <w:left w:val="single" w:color="000000" w:sz="6" w:space="0"/>
              <w:bottom w:val="single" w:color="000000" w:sz="6" w:space="0"/>
              <w:right w:val="single" w:color="000000" w:sz="6" w:space="0"/>
            </w:tcBorders>
            <w:vAlign w:val="center"/>
          </w:tcPr>
          <w:p>
            <w:pPr>
              <w:adjustRightInd w:val="0"/>
              <w:snapToGrid w:val="0"/>
              <w:spacing w:line="460" w:lineRule="atLeast"/>
              <w:ind w:firstLine="470" w:firstLineChars="195"/>
              <w:rPr>
                <w:b/>
                <w:bCs/>
              </w:rPr>
            </w:pPr>
            <w:r>
              <w:rPr>
                <w:rFonts w:hint="eastAsia"/>
                <w:b/>
                <w:bCs/>
              </w:rPr>
              <w:t>我保证申报书内容及附件材料的真实性、完整性、准确性。若填报失实、附件失真和违反规定，本人将承担全部责任。</w:t>
            </w:r>
          </w:p>
          <w:p>
            <w:pPr>
              <w:pStyle w:val="27"/>
              <w:wordWrap w:val="0"/>
              <w:ind w:firstLine="940" w:firstLineChars="392"/>
              <w:rPr>
                <w:rFonts w:cs="Times New Roman"/>
                <w:spacing w:val="15"/>
                <w:sz w:val="21"/>
                <w:szCs w:val="21"/>
              </w:rPr>
            </w:pPr>
          </w:p>
          <w:p>
            <w:pPr>
              <w:pStyle w:val="27"/>
              <w:wordWrap w:val="0"/>
              <w:ind w:right="1456" w:firstLine="1023" w:firstLineChars="392"/>
              <w:jc w:val="right"/>
              <w:rPr>
                <w:rFonts w:cs="Times New Roman"/>
                <w:b/>
                <w:bCs/>
                <w:sz w:val="27"/>
                <w:szCs w:val="27"/>
              </w:rPr>
            </w:pPr>
            <w:r>
              <w:rPr>
                <w:rFonts w:hint="eastAsia" w:cs="Times New Roman"/>
                <w:b/>
                <w:bCs/>
              </w:rPr>
              <w:t>项目负责人签字：</w:t>
            </w:r>
          </w:p>
        </w:tc>
      </w:tr>
    </w:tbl>
    <w:p>
      <w:r>
        <w:rPr>
          <w:rFonts w:hint="eastAsia"/>
        </w:rPr>
        <w:t xml:space="preserve">  </w:t>
      </w:r>
    </w:p>
    <w:tbl>
      <w:tblPr>
        <w:tblStyle w:val="16"/>
        <w:tblW w:w="8121" w:type="dxa"/>
        <w:jc w:val="center"/>
        <w:tblLayout w:type="fixed"/>
        <w:tblCellMar>
          <w:top w:w="0" w:type="dxa"/>
          <w:left w:w="0" w:type="dxa"/>
          <w:bottom w:w="0" w:type="dxa"/>
          <w:right w:w="0" w:type="dxa"/>
        </w:tblCellMar>
      </w:tblPr>
      <w:tblGrid>
        <w:gridCol w:w="8121"/>
      </w:tblGrid>
      <w:tr>
        <w:tblPrEx>
          <w:tblCellMar>
            <w:top w:w="0" w:type="dxa"/>
            <w:left w:w="0" w:type="dxa"/>
            <w:bottom w:w="0" w:type="dxa"/>
            <w:right w:w="0" w:type="dxa"/>
          </w:tblCellMar>
        </w:tblPrEx>
        <w:trPr>
          <w:trHeight w:val="570" w:hRule="atLeast"/>
          <w:jc w:val="center"/>
        </w:trPr>
        <w:tc>
          <w:tcPr>
            <w:tcW w:w="8121" w:type="dxa"/>
            <w:tcBorders>
              <w:top w:val="single" w:color="000000" w:sz="6" w:space="0"/>
              <w:left w:val="single" w:color="000000" w:sz="6" w:space="0"/>
              <w:bottom w:val="single" w:color="000000" w:sz="6" w:space="0"/>
              <w:right w:val="single" w:color="000000" w:sz="6" w:space="0"/>
            </w:tcBorders>
            <w:vAlign w:val="center"/>
          </w:tcPr>
          <w:p>
            <w:pPr>
              <w:pStyle w:val="27"/>
              <w:wordWrap w:val="0"/>
              <w:rPr>
                <w:rFonts w:cs="Times New Roman"/>
                <w:b/>
                <w:bCs/>
                <w:spacing w:val="15"/>
                <w:sz w:val="21"/>
                <w:szCs w:val="21"/>
              </w:rPr>
            </w:pPr>
            <w:r>
              <w:rPr>
                <w:rFonts w:hint="eastAsia" w:cs="Times New Roman"/>
                <w:b/>
                <w:bCs/>
                <w:sz w:val="27"/>
                <w:szCs w:val="27"/>
              </w:rPr>
              <w:t>十二、自筹资金承诺</w:t>
            </w:r>
          </w:p>
        </w:tc>
      </w:tr>
      <w:tr>
        <w:tblPrEx>
          <w:tblCellMar>
            <w:top w:w="0" w:type="dxa"/>
            <w:left w:w="0" w:type="dxa"/>
            <w:bottom w:w="0" w:type="dxa"/>
            <w:right w:w="0" w:type="dxa"/>
          </w:tblCellMar>
        </w:tblPrEx>
        <w:trPr>
          <w:trHeight w:val="7093" w:hRule="atLeast"/>
          <w:jc w:val="center"/>
        </w:trPr>
        <w:tc>
          <w:tcPr>
            <w:tcW w:w="8121" w:type="dxa"/>
            <w:tcBorders>
              <w:top w:val="single" w:color="000000" w:sz="6" w:space="0"/>
              <w:left w:val="single" w:color="000000" w:sz="6" w:space="0"/>
              <w:bottom w:val="single" w:color="000000" w:sz="6" w:space="0"/>
              <w:right w:val="single" w:color="000000" w:sz="6" w:space="0"/>
            </w:tcBorders>
            <w:vAlign w:val="center"/>
          </w:tcPr>
          <w:p>
            <w:pPr>
              <w:pStyle w:val="14"/>
              <w:spacing w:line="525" w:lineRule="atLeast"/>
              <w:rPr>
                <w:sz w:val="27"/>
                <w:szCs w:val="27"/>
              </w:rPr>
            </w:pPr>
            <w:r>
              <w:rPr>
                <w:sz w:val="27"/>
                <w:szCs w:val="27"/>
                <w:u w:val="single"/>
              </w:rPr>
              <w:t xml:space="preserve"> </w:t>
            </w:r>
            <w:r>
              <w:rPr>
                <w:rFonts w:hint="eastAsia"/>
                <w:sz w:val="27"/>
                <w:szCs w:val="27"/>
                <w:u w:val="single"/>
              </w:rPr>
              <w:t xml:space="preserve">           </w:t>
            </w:r>
            <w:r>
              <w:rPr>
                <w:sz w:val="27"/>
                <w:szCs w:val="27"/>
                <w:u w:val="single"/>
              </w:rPr>
              <w:t xml:space="preserve">               </w:t>
            </w:r>
            <w:r>
              <w:rPr>
                <w:rFonts w:hint="eastAsia"/>
                <w:sz w:val="27"/>
                <w:szCs w:val="27"/>
                <w:u w:val="single"/>
              </w:rPr>
              <w:t xml:space="preserve">    </w:t>
            </w:r>
            <w:r>
              <w:rPr>
                <w:sz w:val="27"/>
                <w:szCs w:val="27"/>
                <w:u w:val="single"/>
              </w:rPr>
              <w:t xml:space="preserve"> </w:t>
            </w:r>
            <w:r>
              <w:rPr>
                <w:sz w:val="27"/>
                <w:szCs w:val="27"/>
              </w:rPr>
              <w:t>（单位全称）为</w:t>
            </w:r>
            <w:r>
              <w:rPr>
                <w:sz w:val="27"/>
                <w:szCs w:val="27"/>
                <w:u w:val="single"/>
              </w:rPr>
              <w:t>  </w:t>
            </w:r>
            <w:r>
              <w:rPr>
                <w:rFonts w:hint="eastAsia"/>
                <w:sz w:val="27"/>
                <w:szCs w:val="27"/>
                <w:u w:val="single"/>
              </w:rPr>
              <w:t xml:space="preserve"> </w:t>
            </w:r>
            <w:r>
              <w:rPr>
                <w:sz w:val="27"/>
                <w:szCs w:val="27"/>
                <w:u w:val="single"/>
              </w:rPr>
              <w:t xml:space="preserve">            </w:t>
            </w:r>
            <w:r>
              <w:rPr>
                <w:sz w:val="27"/>
                <w:szCs w:val="27"/>
              </w:rPr>
              <w:t>（项目名称）提供</w:t>
            </w:r>
            <w:r>
              <w:rPr>
                <w:sz w:val="27"/>
                <w:szCs w:val="27"/>
                <w:u w:val="single"/>
              </w:rPr>
              <w:t xml:space="preserve">      </w:t>
            </w:r>
            <w:r>
              <w:rPr>
                <w:sz w:val="27"/>
                <w:szCs w:val="27"/>
              </w:rPr>
              <w:t>万元的自筹资金，资金来源为：单位自有货币资金</w:t>
            </w:r>
          </w:p>
          <w:p>
            <w:pPr>
              <w:pStyle w:val="14"/>
            </w:pPr>
            <w:r>
              <w:t>   特此证明！</w:t>
            </w:r>
          </w:p>
          <w:p>
            <w:pPr>
              <w:pStyle w:val="14"/>
            </w:pPr>
            <w:r>
              <w:t> </w:t>
            </w:r>
          </w:p>
          <w:p>
            <w:pPr>
              <w:pStyle w:val="14"/>
            </w:pPr>
            <w:r>
              <w:t> 申报单位（公章</w:t>
            </w:r>
            <w:r>
              <w:rPr>
                <w:rFonts w:hint="eastAsia"/>
              </w:rPr>
              <w:t>或财务章</w:t>
            </w:r>
            <w:r>
              <w:t>）：      </w:t>
            </w:r>
          </w:p>
          <w:p>
            <w:pPr>
              <w:pStyle w:val="14"/>
            </w:pPr>
            <w:r>
              <w:t>     </w:t>
            </w:r>
          </w:p>
          <w:p>
            <w:pPr>
              <w:pStyle w:val="14"/>
              <w:jc w:val="right"/>
            </w:pPr>
            <w:r>
              <w:t>年  月  日    </w:t>
            </w:r>
          </w:p>
          <w:p>
            <w:pPr>
              <w:pStyle w:val="14"/>
            </w:pPr>
            <w:r>
              <w:t> </w:t>
            </w:r>
          </w:p>
          <w:p>
            <w:r>
              <w:rPr>
                <w:b/>
              </w:rPr>
              <w:t>备注：</w:t>
            </w:r>
            <w:r>
              <w:rPr>
                <w:rFonts w:hint="eastAsia"/>
              </w:rPr>
              <w:t>自筹经费是指项目承担单位或合作单位，在项目立项至结题验收的执行期间提供的货币资金；主要用于与项目研究任务完成相关的支出。</w:t>
            </w:r>
          </w:p>
          <w:p>
            <w:pPr>
              <w:ind w:firstLine="720" w:firstLineChars="300"/>
            </w:pPr>
            <w:r>
              <w:rPr>
                <w:rFonts w:hint="eastAsia"/>
              </w:rPr>
              <w:t>本表由提供自筹的单位填写，由多个单位共同提供的，每个法人单位在本表中分别填写、盖章</w:t>
            </w:r>
          </w:p>
          <w:p>
            <w:pPr>
              <w:pStyle w:val="27"/>
              <w:wordWrap w:val="0"/>
              <w:ind w:right="1861" w:firstLine="1063" w:firstLineChars="392"/>
              <w:jc w:val="right"/>
              <w:rPr>
                <w:rFonts w:cs="Times New Roman"/>
                <w:b/>
                <w:bCs/>
                <w:sz w:val="27"/>
                <w:szCs w:val="27"/>
              </w:rPr>
            </w:pPr>
          </w:p>
        </w:tc>
      </w:tr>
    </w:tbl>
    <w:p/>
    <w:sectPr>
      <w:pgSz w:w="11906" w:h="16838"/>
      <w:pgMar w:top="1440" w:right="1800" w:bottom="1440" w:left="1800"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TimesNewRoman">
    <w:altName w:val="Times New Roman"/>
    <w:panose1 w:val="00000000000000000000"/>
    <w:charset w:val="00"/>
    <w:family w:val="roman"/>
    <w:pitch w:val="default"/>
    <w:sig w:usb0="00000000" w:usb1="00000000" w:usb2="00000000" w:usb3="00000000" w:csb0="00040001" w:csb1="00000000"/>
  </w:font>
  <w:font w:name="TT20o00">
    <w:altName w:val="Cambria"/>
    <w:panose1 w:val="00000000000000000000"/>
    <w:charset w:val="00"/>
    <w:family w:val="roman"/>
    <w:pitch w:val="default"/>
    <w:sig w:usb0="00000000" w:usb1="00000000" w:usb2="00000000" w:usb3="00000000" w:csb0="00040001" w:csb1="00000000"/>
  </w:font>
  <w:font w:name="TT1Do00">
    <w:altName w:val="Cambria"/>
    <w:panose1 w:val="00000000000000000000"/>
    <w:charset w:val="00"/>
    <w:family w:val="roman"/>
    <w:pitch w:val="default"/>
    <w:sig w:usb0="00000000" w:usb1="00000000" w:usb2="00000000" w:usb3="00000000" w:csb0="00040001" w:csb1="00000000"/>
  </w:font>
  <w:font w:name="TT1Do02">
    <w:altName w:val="Cambria"/>
    <w:panose1 w:val="00000000000000000000"/>
    <w:charset w:val="00"/>
    <w:family w:val="roman"/>
    <w:pitch w:val="default"/>
    <w:sig w:usb0="00000000" w:usb1="00000000" w:usb2="00000000"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方正书宋_GBK">
    <w:altName w:val="宋体"/>
    <w:panose1 w:val="00000000000000000000"/>
    <w:charset w:val="86"/>
    <w:family w:val="roman"/>
    <w:pitch w:val="default"/>
    <w:sig w:usb0="00000000" w:usb1="00000000" w:usb2="00000010" w:usb3="00000000" w:csb0="0004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Sun-ExtA">
    <w:altName w:val="Cambria"/>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0B9CC4"/>
    <w:multiLevelType w:val="multilevel"/>
    <w:tmpl w:val="EF0B9CC4"/>
    <w:lvl w:ilvl="0" w:tentative="0">
      <w:start w:val="1"/>
      <w:numFmt w:val="decimal"/>
      <w:lvlText w:val="%1、"/>
      <w:lvlJc w:val="left"/>
      <w:pPr>
        <w:tabs>
          <w:tab w:val="left" w:pos="720"/>
        </w:tabs>
        <w:ind w:left="720" w:hanging="720"/>
      </w:pPr>
      <w:rPr>
        <w:rFonts w:hint="default" w:ascii="Times New Roman" w:hAnsi="Times New Roman" w:cs="Times New Roman"/>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1">
    <w:nsid w:val="06701CB9"/>
    <w:multiLevelType w:val="multilevel"/>
    <w:tmpl w:val="06701CB9"/>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2">
    <w:nsid w:val="0EEE03F5"/>
    <w:multiLevelType w:val="multilevel"/>
    <w:tmpl w:val="0EEE03F5"/>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
    <w:nsid w:val="1CF933B8"/>
    <w:multiLevelType w:val="multilevel"/>
    <w:tmpl w:val="1CF933B8"/>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
    <w:nsid w:val="4B636C00"/>
    <w:multiLevelType w:val="multilevel"/>
    <w:tmpl w:val="4B636C00"/>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5">
    <w:nsid w:val="5E757BF7"/>
    <w:multiLevelType w:val="multilevel"/>
    <w:tmpl w:val="5E757BF7"/>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
    <w:nsid w:val="6DD43199"/>
    <w:multiLevelType w:val="multilevel"/>
    <w:tmpl w:val="6DD43199"/>
    <w:lvl w:ilvl="0" w:tentative="0">
      <w:start w:val="1"/>
      <w:numFmt w:val="decimal"/>
      <w:lvlText w:val="[%1]"/>
      <w:lvlJc w:val="left"/>
      <w:pPr>
        <w:ind w:left="420" w:hanging="420"/>
      </w:pPr>
      <w:rPr>
        <w:rFonts w:hint="eastAsia"/>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733365C"/>
    <w:multiLevelType w:val="multilevel"/>
    <w:tmpl w:val="7733365C"/>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noPunctuationKerning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45D"/>
    <w:rsid w:val="0000310F"/>
    <w:rsid w:val="00003D67"/>
    <w:rsid w:val="00003FC1"/>
    <w:rsid w:val="00007DF8"/>
    <w:rsid w:val="00014973"/>
    <w:rsid w:val="00024DC1"/>
    <w:rsid w:val="00025176"/>
    <w:rsid w:val="00027BDB"/>
    <w:rsid w:val="00030990"/>
    <w:rsid w:val="000316C8"/>
    <w:rsid w:val="000346FF"/>
    <w:rsid w:val="000376B9"/>
    <w:rsid w:val="000445E5"/>
    <w:rsid w:val="00047943"/>
    <w:rsid w:val="00051062"/>
    <w:rsid w:val="00051ACF"/>
    <w:rsid w:val="00065A6E"/>
    <w:rsid w:val="000708D3"/>
    <w:rsid w:val="00072C8A"/>
    <w:rsid w:val="00077023"/>
    <w:rsid w:val="000776F1"/>
    <w:rsid w:val="0008094A"/>
    <w:rsid w:val="0009034F"/>
    <w:rsid w:val="00094772"/>
    <w:rsid w:val="000A3360"/>
    <w:rsid w:val="000A467F"/>
    <w:rsid w:val="000A7E34"/>
    <w:rsid w:val="000B2A4A"/>
    <w:rsid w:val="000C126B"/>
    <w:rsid w:val="000C5962"/>
    <w:rsid w:val="000C62D5"/>
    <w:rsid w:val="000D3068"/>
    <w:rsid w:val="000D59AC"/>
    <w:rsid w:val="000E0AD4"/>
    <w:rsid w:val="000E3287"/>
    <w:rsid w:val="000F061F"/>
    <w:rsid w:val="000F134D"/>
    <w:rsid w:val="00102033"/>
    <w:rsid w:val="00103CAC"/>
    <w:rsid w:val="00111E7D"/>
    <w:rsid w:val="00111F91"/>
    <w:rsid w:val="00121992"/>
    <w:rsid w:val="00121E35"/>
    <w:rsid w:val="001234D8"/>
    <w:rsid w:val="001237E6"/>
    <w:rsid w:val="00124749"/>
    <w:rsid w:val="00124D53"/>
    <w:rsid w:val="00131FE3"/>
    <w:rsid w:val="0014118B"/>
    <w:rsid w:val="00142270"/>
    <w:rsid w:val="001502EA"/>
    <w:rsid w:val="001548AF"/>
    <w:rsid w:val="00160C49"/>
    <w:rsid w:val="00165259"/>
    <w:rsid w:val="00176677"/>
    <w:rsid w:val="00181434"/>
    <w:rsid w:val="001835A0"/>
    <w:rsid w:val="001845DE"/>
    <w:rsid w:val="00184C85"/>
    <w:rsid w:val="001A21FE"/>
    <w:rsid w:val="001A3FF8"/>
    <w:rsid w:val="001A62ED"/>
    <w:rsid w:val="001A7B7D"/>
    <w:rsid w:val="001B407F"/>
    <w:rsid w:val="001B4083"/>
    <w:rsid w:val="001C062D"/>
    <w:rsid w:val="001C4B76"/>
    <w:rsid w:val="001D2771"/>
    <w:rsid w:val="001D5A6D"/>
    <w:rsid w:val="001F0185"/>
    <w:rsid w:val="001F087E"/>
    <w:rsid w:val="00201E5D"/>
    <w:rsid w:val="0020346B"/>
    <w:rsid w:val="00217792"/>
    <w:rsid w:val="00217FD8"/>
    <w:rsid w:val="00226FC6"/>
    <w:rsid w:val="0023468C"/>
    <w:rsid w:val="0023487D"/>
    <w:rsid w:val="00235CF6"/>
    <w:rsid w:val="00236CE9"/>
    <w:rsid w:val="00256CDE"/>
    <w:rsid w:val="00257B8B"/>
    <w:rsid w:val="00265D42"/>
    <w:rsid w:val="00271E7B"/>
    <w:rsid w:val="00276283"/>
    <w:rsid w:val="00276E6F"/>
    <w:rsid w:val="00286E03"/>
    <w:rsid w:val="002920A5"/>
    <w:rsid w:val="002A222E"/>
    <w:rsid w:val="002A6946"/>
    <w:rsid w:val="002B1DB8"/>
    <w:rsid w:val="002B5D66"/>
    <w:rsid w:val="002C0AA8"/>
    <w:rsid w:val="002C25FF"/>
    <w:rsid w:val="002D180D"/>
    <w:rsid w:val="002E17DD"/>
    <w:rsid w:val="002E629A"/>
    <w:rsid w:val="002E7038"/>
    <w:rsid w:val="002F002F"/>
    <w:rsid w:val="002F2B70"/>
    <w:rsid w:val="00303867"/>
    <w:rsid w:val="00314C3E"/>
    <w:rsid w:val="003165F7"/>
    <w:rsid w:val="003177A3"/>
    <w:rsid w:val="0032506B"/>
    <w:rsid w:val="003250BE"/>
    <w:rsid w:val="00332EAF"/>
    <w:rsid w:val="003341D4"/>
    <w:rsid w:val="00343A37"/>
    <w:rsid w:val="00354BF0"/>
    <w:rsid w:val="00356515"/>
    <w:rsid w:val="00357A28"/>
    <w:rsid w:val="00361560"/>
    <w:rsid w:val="00362B8D"/>
    <w:rsid w:val="0036488D"/>
    <w:rsid w:val="0038524A"/>
    <w:rsid w:val="003855B2"/>
    <w:rsid w:val="00385F89"/>
    <w:rsid w:val="00392DD1"/>
    <w:rsid w:val="00395D7A"/>
    <w:rsid w:val="00397F15"/>
    <w:rsid w:val="003A19C1"/>
    <w:rsid w:val="003A4396"/>
    <w:rsid w:val="003A66B1"/>
    <w:rsid w:val="003A6B4D"/>
    <w:rsid w:val="003B51E1"/>
    <w:rsid w:val="003D2EDA"/>
    <w:rsid w:val="003D3705"/>
    <w:rsid w:val="003D6337"/>
    <w:rsid w:val="003D6C5B"/>
    <w:rsid w:val="003E0146"/>
    <w:rsid w:val="004016A0"/>
    <w:rsid w:val="00402538"/>
    <w:rsid w:val="004055A4"/>
    <w:rsid w:val="00410889"/>
    <w:rsid w:val="0041373C"/>
    <w:rsid w:val="00417A58"/>
    <w:rsid w:val="00421CA2"/>
    <w:rsid w:val="004253DD"/>
    <w:rsid w:val="00427EAC"/>
    <w:rsid w:val="004350FD"/>
    <w:rsid w:val="004372F3"/>
    <w:rsid w:val="004410B7"/>
    <w:rsid w:val="00441919"/>
    <w:rsid w:val="004508CB"/>
    <w:rsid w:val="00462AFC"/>
    <w:rsid w:val="00467F10"/>
    <w:rsid w:val="00470A88"/>
    <w:rsid w:val="0047238C"/>
    <w:rsid w:val="00484394"/>
    <w:rsid w:val="0048765F"/>
    <w:rsid w:val="00490EA6"/>
    <w:rsid w:val="00495051"/>
    <w:rsid w:val="0049589B"/>
    <w:rsid w:val="00496230"/>
    <w:rsid w:val="00497E92"/>
    <w:rsid w:val="004A32A0"/>
    <w:rsid w:val="004A3CA5"/>
    <w:rsid w:val="004A45A3"/>
    <w:rsid w:val="004A49D2"/>
    <w:rsid w:val="004B29BF"/>
    <w:rsid w:val="004B424A"/>
    <w:rsid w:val="004B537B"/>
    <w:rsid w:val="004C04CC"/>
    <w:rsid w:val="004C1257"/>
    <w:rsid w:val="004D674F"/>
    <w:rsid w:val="004E1B13"/>
    <w:rsid w:val="004E6700"/>
    <w:rsid w:val="004F2898"/>
    <w:rsid w:val="005004B0"/>
    <w:rsid w:val="005050DB"/>
    <w:rsid w:val="00516300"/>
    <w:rsid w:val="0051758C"/>
    <w:rsid w:val="00517B88"/>
    <w:rsid w:val="00521F07"/>
    <w:rsid w:val="00523877"/>
    <w:rsid w:val="00537128"/>
    <w:rsid w:val="005417F5"/>
    <w:rsid w:val="00546D7E"/>
    <w:rsid w:val="00547837"/>
    <w:rsid w:val="00547CA6"/>
    <w:rsid w:val="00554C5A"/>
    <w:rsid w:val="00554D38"/>
    <w:rsid w:val="00555C93"/>
    <w:rsid w:val="00557CD0"/>
    <w:rsid w:val="00564109"/>
    <w:rsid w:val="00567892"/>
    <w:rsid w:val="005705A4"/>
    <w:rsid w:val="00573E93"/>
    <w:rsid w:val="00582BC2"/>
    <w:rsid w:val="005869F2"/>
    <w:rsid w:val="005877E8"/>
    <w:rsid w:val="00590FDC"/>
    <w:rsid w:val="005A2ED2"/>
    <w:rsid w:val="005B16CD"/>
    <w:rsid w:val="005C299B"/>
    <w:rsid w:val="005C445D"/>
    <w:rsid w:val="005D08DC"/>
    <w:rsid w:val="005E5955"/>
    <w:rsid w:val="005F1539"/>
    <w:rsid w:val="005F545F"/>
    <w:rsid w:val="006004F1"/>
    <w:rsid w:val="0060463A"/>
    <w:rsid w:val="00612409"/>
    <w:rsid w:val="00613974"/>
    <w:rsid w:val="00622B61"/>
    <w:rsid w:val="0062362E"/>
    <w:rsid w:val="00623C3D"/>
    <w:rsid w:val="00631D3C"/>
    <w:rsid w:val="006374A8"/>
    <w:rsid w:val="00650006"/>
    <w:rsid w:val="00650459"/>
    <w:rsid w:val="00656ABC"/>
    <w:rsid w:val="006604E3"/>
    <w:rsid w:val="00663BFD"/>
    <w:rsid w:val="006807CE"/>
    <w:rsid w:val="006A4747"/>
    <w:rsid w:val="006A6061"/>
    <w:rsid w:val="006B71DF"/>
    <w:rsid w:val="006B7AE2"/>
    <w:rsid w:val="006C29A0"/>
    <w:rsid w:val="006C69A9"/>
    <w:rsid w:val="006E639D"/>
    <w:rsid w:val="006E7FF5"/>
    <w:rsid w:val="006F0637"/>
    <w:rsid w:val="006F31F3"/>
    <w:rsid w:val="006F4017"/>
    <w:rsid w:val="006F7E09"/>
    <w:rsid w:val="00706AF4"/>
    <w:rsid w:val="00721BA6"/>
    <w:rsid w:val="0073108E"/>
    <w:rsid w:val="00731A1A"/>
    <w:rsid w:val="007359B1"/>
    <w:rsid w:val="00735E0E"/>
    <w:rsid w:val="00737723"/>
    <w:rsid w:val="0074180F"/>
    <w:rsid w:val="0075117B"/>
    <w:rsid w:val="007572F5"/>
    <w:rsid w:val="007667AE"/>
    <w:rsid w:val="00773B55"/>
    <w:rsid w:val="007756FA"/>
    <w:rsid w:val="007839C9"/>
    <w:rsid w:val="00785B59"/>
    <w:rsid w:val="00787CCC"/>
    <w:rsid w:val="00792883"/>
    <w:rsid w:val="007A10FD"/>
    <w:rsid w:val="007A23D8"/>
    <w:rsid w:val="007B57CD"/>
    <w:rsid w:val="007B5E62"/>
    <w:rsid w:val="007B6403"/>
    <w:rsid w:val="007C6FC1"/>
    <w:rsid w:val="007D6737"/>
    <w:rsid w:val="007D6B6E"/>
    <w:rsid w:val="007D7DCA"/>
    <w:rsid w:val="007E4990"/>
    <w:rsid w:val="007E54AE"/>
    <w:rsid w:val="007E742C"/>
    <w:rsid w:val="007F7349"/>
    <w:rsid w:val="008009E4"/>
    <w:rsid w:val="00806757"/>
    <w:rsid w:val="00811040"/>
    <w:rsid w:val="008317C0"/>
    <w:rsid w:val="00835DAC"/>
    <w:rsid w:val="00840BED"/>
    <w:rsid w:val="00842F9B"/>
    <w:rsid w:val="00843092"/>
    <w:rsid w:val="0084580C"/>
    <w:rsid w:val="00847074"/>
    <w:rsid w:val="008500CA"/>
    <w:rsid w:val="008528E4"/>
    <w:rsid w:val="00852FE2"/>
    <w:rsid w:val="00853945"/>
    <w:rsid w:val="00854F6A"/>
    <w:rsid w:val="008553CE"/>
    <w:rsid w:val="008636C1"/>
    <w:rsid w:val="008642DF"/>
    <w:rsid w:val="00871854"/>
    <w:rsid w:val="008742F1"/>
    <w:rsid w:val="008842BF"/>
    <w:rsid w:val="00887B34"/>
    <w:rsid w:val="008900EC"/>
    <w:rsid w:val="0089501B"/>
    <w:rsid w:val="008967F0"/>
    <w:rsid w:val="008970EB"/>
    <w:rsid w:val="008972CB"/>
    <w:rsid w:val="008A19A2"/>
    <w:rsid w:val="008A62C1"/>
    <w:rsid w:val="008B0D88"/>
    <w:rsid w:val="008B12E0"/>
    <w:rsid w:val="008B2B5C"/>
    <w:rsid w:val="008C3784"/>
    <w:rsid w:val="008C48C7"/>
    <w:rsid w:val="008C63B8"/>
    <w:rsid w:val="008C71FC"/>
    <w:rsid w:val="008D0BE9"/>
    <w:rsid w:val="008D0E83"/>
    <w:rsid w:val="008E225B"/>
    <w:rsid w:val="008E6EB8"/>
    <w:rsid w:val="008E7054"/>
    <w:rsid w:val="008F4302"/>
    <w:rsid w:val="008F5ED7"/>
    <w:rsid w:val="009001BD"/>
    <w:rsid w:val="00900D37"/>
    <w:rsid w:val="00900F46"/>
    <w:rsid w:val="00902655"/>
    <w:rsid w:val="009109E2"/>
    <w:rsid w:val="00915826"/>
    <w:rsid w:val="009215BF"/>
    <w:rsid w:val="0093360A"/>
    <w:rsid w:val="00934EEE"/>
    <w:rsid w:val="0093587F"/>
    <w:rsid w:val="009360D2"/>
    <w:rsid w:val="00941955"/>
    <w:rsid w:val="009467D8"/>
    <w:rsid w:val="00950CC7"/>
    <w:rsid w:val="00951DD6"/>
    <w:rsid w:val="009533DC"/>
    <w:rsid w:val="009576E7"/>
    <w:rsid w:val="00963040"/>
    <w:rsid w:val="00971651"/>
    <w:rsid w:val="00977597"/>
    <w:rsid w:val="00980036"/>
    <w:rsid w:val="00987BFE"/>
    <w:rsid w:val="00996640"/>
    <w:rsid w:val="009974FA"/>
    <w:rsid w:val="009C5271"/>
    <w:rsid w:val="009D3783"/>
    <w:rsid w:val="009E4637"/>
    <w:rsid w:val="009E679C"/>
    <w:rsid w:val="009E7951"/>
    <w:rsid w:val="009F178B"/>
    <w:rsid w:val="00A0206C"/>
    <w:rsid w:val="00A144F5"/>
    <w:rsid w:val="00A2345A"/>
    <w:rsid w:val="00A371BB"/>
    <w:rsid w:val="00A4400C"/>
    <w:rsid w:val="00A45829"/>
    <w:rsid w:val="00A532CF"/>
    <w:rsid w:val="00A5731F"/>
    <w:rsid w:val="00A604C5"/>
    <w:rsid w:val="00A6100F"/>
    <w:rsid w:val="00A61721"/>
    <w:rsid w:val="00A63E03"/>
    <w:rsid w:val="00A74B32"/>
    <w:rsid w:val="00A74BC8"/>
    <w:rsid w:val="00A77314"/>
    <w:rsid w:val="00A82247"/>
    <w:rsid w:val="00A930A2"/>
    <w:rsid w:val="00A9410B"/>
    <w:rsid w:val="00A9411A"/>
    <w:rsid w:val="00AB4A5F"/>
    <w:rsid w:val="00AB4C81"/>
    <w:rsid w:val="00AB66C5"/>
    <w:rsid w:val="00AC3678"/>
    <w:rsid w:val="00AC4DD6"/>
    <w:rsid w:val="00AC6F25"/>
    <w:rsid w:val="00AD2006"/>
    <w:rsid w:val="00AD27C6"/>
    <w:rsid w:val="00AD432B"/>
    <w:rsid w:val="00AE503D"/>
    <w:rsid w:val="00AF0576"/>
    <w:rsid w:val="00B039AE"/>
    <w:rsid w:val="00B05691"/>
    <w:rsid w:val="00B076B5"/>
    <w:rsid w:val="00B21B9E"/>
    <w:rsid w:val="00B2351B"/>
    <w:rsid w:val="00B30959"/>
    <w:rsid w:val="00B33B41"/>
    <w:rsid w:val="00B4658A"/>
    <w:rsid w:val="00B52DEA"/>
    <w:rsid w:val="00B54C0D"/>
    <w:rsid w:val="00B57AD6"/>
    <w:rsid w:val="00B636AA"/>
    <w:rsid w:val="00B63FF4"/>
    <w:rsid w:val="00B84EE5"/>
    <w:rsid w:val="00B9189B"/>
    <w:rsid w:val="00B97225"/>
    <w:rsid w:val="00B97C36"/>
    <w:rsid w:val="00BA06DB"/>
    <w:rsid w:val="00BA2861"/>
    <w:rsid w:val="00BA29D9"/>
    <w:rsid w:val="00BA4164"/>
    <w:rsid w:val="00BA7737"/>
    <w:rsid w:val="00BB189D"/>
    <w:rsid w:val="00BB212E"/>
    <w:rsid w:val="00BB237F"/>
    <w:rsid w:val="00BB7DAB"/>
    <w:rsid w:val="00BC1D46"/>
    <w:rsid w:val="00BC1E7F"/>
    <w:rsid w:val="00BC2386"/>
    <w:rsid w:val="00BC6EB9"/>
    <w:rsid w:val="00BD2E11"/>
    <w:rsid w:val="00BD4860"/>
    <w:rsid w:val="00BF2526"/>
    <w:rsid w:val="00BF596E"/>
    <w:rsid w:val="00C03288"/>
    <w:rsid w:val="00C068BA"/>
    <w:rsid w:val="00C0755E"/>
    <w:rsid w:val="00C13C47"/>
    <w:rsid w:val="00C25EB4"/>
    <w:rsid w:val="00C3067D"/>
    <w:rsid w:val="00C32052"/>
    <w:rsid w:val="00C35A5E"/>
    <w:rsid w:val="00C40FFB"/>
    <w:rsid w:val="00C41D99"/>
    <w:rsid w:val="00C52551"/>
    <w:rsid w:val="00C54634"/>
    <w:rsid w:val="00C63F62"/>
    <w:rsid w:val="00C650C5"/>
    <w:rsid w:val="00C671DB"/>
    <w:rsid w:val="00C721E7"/>
    <w:rsid w:val="00C73AFF"/>
    <w:rsid w:val="00C77121"/>
    <w:rsid w:val="00C8338B"/>
    <w:rsid w:val="00C85685"/>
    <w:rsid w:val="00C91804"/>
    <w:rsid w:val="00C932B8"/>
    <w:rsid w:val="00CA45FD"/>
    <w:rsid w:val="00CA64B7"/>
    <w:rsid w:val="00CA7465"/>
    <w:rsid w:val="00CB1A0A"/>
    <w:rsid w:val="00CC2890"/>
    <w:rsid w:val="00CD398E"/>
    <w:rsid w:val="00CE20A3"/>
    <w:rsid w:val="00CE2117"/>
    <w:rsid w:val="00CE4247"/>
    <w:rsid w:val="00CE5412"/>
    <w:rsid w:val="00CE67C6"/>
    <w:rsid w:val="00CF73BB"/>
    <w:rsid w:val="00D00AD3"/>
    <w:rsid w:val="00D07EB5"/>
    <w:rsid w:val="00D11A9B"/>
    <w:rsid w:val="00D12AD8"/>
    <w:rsid w:val="00D12BF6"/>
    <w:rsid w:val="00D226FA"/>
    <w:rsid w:val="00D2280B"/>
    <w:rsid w:val="00D2382A"/>
    <w:rsid w:val="00D241A1"/>
    <w:rsid w:val="00D330C8"/>
    <w:rsid w:val="00D34303"/>
    <w:rsid w:val="00D46F07"/>
    <w:rsid w:val="00D500B4"/>
    <w:rsid w:val="00D54E45"/>
    <w:rsid w:val="00D737B1"/>
    <w:rsid w:val="00D76F3C"/>
    <w:rsid w:val="00D8481A"/>
    <w:rsid w:val="00D848E4"/>
    <w:rsid w:val="00D852AD"/>
    <w:rsid w:val="00D92C66"/>
    <w:rsid w:val="00DA27E6"/>
    <w:rsid w:val="00DA7A66"/>
    <w:rsid w:val="00DA7F24"/>
    <w:rsid w:val="00DB7100"/>
    <w:rsid w:val="00DB7107"/>
    <w:rsid w:val="00DC1922"/>
    <w:rsid w:val="00DC4344"/>
    <w:rsid w:val="00DC5645"/>
    <w:rsid w:val="00DC78B3"/>
    <w:rsid w:val="00DD1EA9"/>
    <w:rsid w:val="00DD4A0A"/>
    <w:rsid w:val="00DE081D"/>
    <w:rsid w:val="00DE3189"/>
    <w:rsid w:val="00DF0594"/>
    <w:rsid w:val="00DF3268"/>
    <w:rsid w:val="00DF3539"/>
    <w:rsid w:val="00DF74BA"/>
    <w:rsid w:val="00E13313"/>
    <w:rsid w:val="00E164A6"/>
    <w:rsid w:val="00E2541A"/>
    <w:rsid w:val="00E313F5"/>
    <w:rsid w:val="00E47F89"/>
    <w:rsid w:val="00E5115F"/>
    <w:rsid w:val="00E5511E"/>
    <w:rsid w:val="00E62AB8"/>
    <w:rsid w:val="00E63C39"/>
    <w:rsid w:val="00E63D9C"/>
    <w:rsid w:val="00E64CAF"/>
    <w:rsid w:val="00E65508"/>
    <w:rsid w:val="00E8193C"/>
    <w:rsid w:val="00E94804"/>
    <w:rsid w:val="00E94D81"/>
    <w:rsid w:val="00E97163"/>
    <w:rsid w:val="00EA0C6C"/>
    <w:rsid w:val="00EA5702"/>
    <w:rsid w:val="00EB29DC"/>
    <w:rsid w:val="00EC11C7"/>
    <w:rsid w:val="00EC426C"/>
    <w:rsid w:val="00EC61F8"/>
    <w:rsid w:val="00EC65BC"/>
    <w:rsid w:val="00ED54BB"/>
    <w:rsid w:val="00EE1C16"/>
    <w:rsid w:val="00EE2789"/>
    <w:rsid w:val="00EE5B04"/>
    <w:rsid w:val="00EE5CD0"/>
    <w:rsid w:val="00EF0E46"/>
    <w:rsid w:val="00EF2837"/>
    <w:rsid w:val="00EF3EE4"/>
    <w:rsid w:val="00EF5233"/>
    <w:rsid w:val="00F00ECE"/>
    <w:rsid w:val="00F17EBE"/>
    <w:rsid w:val="00F24DBA"/>
    <w:rsid w:val="00F30C72"/>
    <w:rsid w:val="00F42C8F"/>
    <w:rsid w:val="00F43FED"/>
    <w:rsid w:val="00F507FD"/>
    <w:rsid w:val="00F53128"/>
    <w:rsid w:val="00F648B9"/>
    <w:rsid w:val="00F655E1"/>
    <w:rsid w:val="00F67FAC"/>
    <w:rsid w:val="00F715A3"/>
    <w:rsid w:val="00F77B05"/>
    <w:rsid w:val="00F82B06"/>
    <w:rsid w:val="00F846B8"/>
    <w:rsid w:val="00F901D6"/>
    <w:rsid w:val="00F96A44"/>
    <w:rsid w:val="00F97890"/>
    <w:rsid w:val="00FA6009"/>
    <w:rsid w:val="00FB67B6"/>
    <w:rsid w:val="00FB75E2"/>
    <w:rsid w:val="00FB7DE5"/>
    <w:rsid w:val="00FC04B0"/>
    <w:rsid w:val="00FC2070"/>
    <w:rsid w:val="00FC422D"/>
    <w:rsid w:val="00FC44E4"/>
    <w:rsid w:val="00FC75B4"/>
    <w:rsid w:val="00FD1481"/>
    <w:rsid w:val="00FD220E"/>
    <w:rsid w:val="00FE58A0"/>
    <w:rsid w:val="00FE6325"/>
    <w:rsid w:val="00FF349F"/>
    <w:rsid w:val="00FF4EA5"/>
    <w:rsid w:val="00FF5220"/>
    <w:rsid w:val="043103FE"/>
    <w:rsid w:val="0613677D"/>
    <w:rsid w:val="069002F5"/>
    <w:rsid w:val="081B43B3"/>
    <w:rsid w:val="0DDC6785"/>
    <w:rsid w:val="17C73404"/>
    <w:rsid w:val="21BF5603"/>
    <w:rsid w:val="230D4D68"/>
    <w:rsid w:val="237A685F"/>
    <w:rsid w:val="24976ED8"/>
    <w:rsid w:val="265D2EF5"/>
    <w:rsid w:val="2B345577"/>
    <w:rsid w:val="30525B8B"/>
    <w:rsid w:val="33686110"/>
    <w:rsid w:val="34B356D4"/>
    <w:rsid w:val="373715A7"/>
    <w:rsid w:val="395A0E76"/>
    <w:rsid w:val="39D3380F"/>
    <w:rsid w:val="3A98335A"/>
    <w:rsid w:val="41435AEC"/>
    <w:rsid w:val="47517423"/>
    <w:rsid w:val="4A6C1521"/>
    <w:rsid w:val="531B0806"/>
    <w:rsid w:val="535A1390"/>
    <w:rsid w:val="55934739"/>
    <w:rsid w:val="5D445B5E"/>
    <w:rsid w:val="5E205A9F"/>
    <w:rsid w:val="6210796C"/>
    <w:rsid w:val="6AA643F1"/>
    <w:rsid w:val="6AC12C1F"/>
    <w:rsid w:val="6C163AB2"/>
    <w:rsid w:val="726D45B9"/>
    <w:rsid w:val="73586AB2"/>
    <w:rsid w:val="75356DDE"/>
    <w:rsid w:val="75D42CE7"/>
    <w:rsid w:val="76A9462E"/>
    <w:rsid w:val="796A6914"/>
    <w:rsid w:val="7B500078"/>
    <w:rsid w:val="7C437ED8"/>
    <w:rsid w:val="7CA16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20"/>
    <w:qFormat/>
    <w:uiPriority w:val="0"/>
    <w:pPr>
      <w:spacing w:before="100" w:beforeAutospacing="1" w:after="100" w:afterAutospacing="1"/>
      <w:outlineLvl w:val="0"/>
    </w:pPr>
    <w:rPr>
      <w:b/>
      <w:bCs/>
      <w:kern w:val="44"/>
      <w:sz w:val="48"/>
      <w:szCs w:val="48"/>
    </w:rPr>
  </w:style>
  <w:style w:type="paragraph" w:styleId="3">
    <w:name w:val="heading 2"/>
    <w:basedOn w:val="1"/>
    <w:next w:val="1"/>
    <w:link w:val="21"/>
    <w:qFormat/>
    <w:uiPriority w:val="0"/>
    <w:pPr>
      <w:spacing w:before="100" w:beforeAutospacing="1" w:after="100" w:afterAutospacing="1"/>
      <w:outlineLvl w:val="1"/>
    </w:pPr>
    <w:rPr>
      <w:b/>
      <w:bCs/>
      <w:sz w:val="36"/>
      <w:szCs w:val="36"/>
    </w:rPr>
  </w:style>
  <w:style w:type="paragraph" w:styleId="4">
    <w:name w:val="heading 3"/>
    <w:basedOn w:val="1"/>
    <w:next w:val="1"/>
    <w:link w:val="22"/>
    <w:qFormat/>
    <w:uiPriority w:val="0"/>
    <w:pPr>
      <w:spacing w:before="100" w:beforeAutospacing="1" w:after="100" w:afterAutospacing="1"/>
      <w:outlineLvl w:val="2"/>
    </w:pPr>
    <w:rPr>
      <w:b/>
      <w:bCs/>
      <w:sz w:val="27"/>
      <w:szCs w:val="27"/>
    </w:rPr>
  </w:style>
  <w:style w:type="paragraph" w:styleId="5">
    <w:name w:val="heading 4"/>
    <w:basedOn w:val="1"/>
    <w:next w:val="1"/>
    <w:link w:val="23"/>
    <w:qFormat/>
    <w:uiPriority w:val="0"/>
    <w:pPr>
      <w:spacing w:before="100" w:beforeAutospacing="1" w:after="100" w:afterAutospacing="1"/>
      <w:outlineLvl w:val="3"/>
    </w:pPr>
    <w:rPr>
      <w:b/>
      <w:bCs/>
    </w:rPr>
  </w:style>
  <w:style w:type="paragraph" w:styleId="6">
    <w:name w:val="heading 5"/>
    <w:basedOn w:val="1"/>
    <w:next w:val="1"/>
    <w:link w:val="24"/>
    <w:qFormat/>
    <w:uiPriority w:val="0"/>
    <w:pPr>
      <w:spacing w:before="100" w:beforeAutospacing="1" w:after="100" w:afterAutospacing="1"/>
      <w:outlineLvl w:val="4"/>
    </w:pPr>
    <w:rPr>
      <w:b/>
      <w:bCs/>
      <w:sz w:val="20"/>
      <w:szCs w:val="20"/>
    </w:rPr>
  </w:style>
  <w:style w:type="paragraph" w:styleId="7">
    <w:name w:val="heading 6"/>
    <w:basedOn w:val="1"/>
    <w:next w:val="1"/>
    <w:link w:val="25"/>
    <w:qFormat/>
    <w:uiPriority w:val="0"/>
    <w:pPr>
      <w:spacing w:before="100" w:beforeAutospacing="1" w:after="100" w:afterAutospacing="1"/>
      <w:outlineLvl w:val="5"/>
    </w:pPr>
    <w:rPr>
      <w:b/>
      <w:bCs/>
      <w:sz w:val="15"/>
      <w:szCs w:val="15"/>
    </w:rPr>
  </w:style>
  <w:style w:type="character" w:default="1" w:styleId="17">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8">
    <w:name w:val="annotation text"/>
    <w:basedOn w:val="1"/>
    <w:link w:val="74"/>
    <w:unhideWhenUsed/>
    <w:qFormat/>
    <w:uiPriority w:val="0"/>
    <w:rPr>
      <w:rFonts w:ascii="Times New Roman" w:hAnsi="Times New Roman"/>
    </w:rPr>
  </w:style>
  <w:style w:type="paragraph" w:styleId="9">
    <w:name w:val="Body Text"/>
    <w:basedOn w:val="1"/>
    <w:link w:val="64"/>
    <w:qFormat/>
    <w:uiPriority w:val="0"/>
    <w:pPr>
      <w:spacing w:line="400" w:lineRule="exact"/>
      <w:ind w:firstLine="200" w:firstLineChars="200"/>
      <w:jc w:val="both"/>
    </w:pPr>
  </w:style>
  <w:style w:type="paragraph" w:styleId="10">
    <w:name w:val="Balloon Text"/>
    <w:basedOn w:val="1"/>
    <w:link w:val="62"/>
    <w:qFormat/>
    <w:uiPriority w:val="0"/>
    <w:rPr>
      <w:sz w:val="18"/>
      <w:szCs w:val="18"/>
    </w:rPr>
  </w:style>
  <w:style w:type="paragraph" w:styleId="11">
    <w:name w:val="footer"/>
    <w:basedOn w:val="1"/>
    <w:link w:val="31"/>
    <w:qFormat/>
    <w:uiPriority w:val="0"/>
    <w:pPr>
      <w:widowControl w:val="0"/>
      <w:snapToGrid w:val="0"/>
    </w:pPr>
    <w:rPr>
      <w:rFonts w:ascii="Times New Roman" w:hAnsi="Times New Roman" w:cs="Times New Roman"/>
      <w:kern w:val="2"/>
      <w:sz w:val="18"/>
      <w:szCs w:val="18"/>
    </w:rPr>
  </w:style>
  <w:style w:type="paragraph" w:styleId="12">
    <w:name w:val="header"/>
    <w:basedOn w:val="1"/>
    <w:link w:val="61"/>
    <w:qFormat/>
    <w:uiPriority w:val="0"/>
    <w:pPr>
      <w:pBdr>
        <w:bottom w:val="single" w:color="auto" w:sz="6" w:space="1"/>
      </w:pBdr>
      <w:tabs>
        <w:tab w:val="center" w:pos="4153"/>
        <w:tab w:val="right" w:pos="8306"/>
      </w:tabs>
      <w:snapToGrid w:val="0"/>
      <w:jc w:val="center"/>
    </w:pPr>
    <w:rPr>
      <w:sz w:val="18"/>
      <w:szCs w:val="18"/>
    </w:rPr>
  </w:style>
  <w:style w:type="paragraph" w:styleId="13">
    <w:name w:val="HTML Preformatted"/>
    <w:basedOn w:val="1"/>
    <w:link w:val="28"/>
    <w:qFormat/>
    <w:uiPriority w:val="0"/>
  </w:style>
  <w:style w:type="paragraph" w:styleId="14">
    <w:name w:val="Normal (Web)"/>
    <w:basedOn w:val="1"/>
    <w:qFormat/>
    <w:uiPriority w:val="0"/>
    <w:pPr>
      <w:spacing w:before="100" w:beforeAutospacing="1" w:after="100" w:afterAutospacing="1"/>
    </w:pPr>
  </w:style>
  <w:style w:type="paragraph" w:styleId="15">
    <w:name w:val="annotation subject"/>
    <w:basedOn w:val="8"/>
    <w:next w:val="8"/>
    <w:link w:val="84"/>
    <w:qFormat/>
    <w:uiPriority w:val="0"/>
    <w:rPr>
      <w:rFonts w:ascii="宋体" w:hAnsi="宋体"/>
      <w:b/>
      <w:bCs/>
    </w:rPr>
  </w:style>
  <w:style w:type="character" w:styleId="18">
    <w:name w:val="Hyperlink"/>
    <w:basedOn w:val="17"/>
    <w:unhideWhenUsed/>
    <w:qFormat/>
    <w:uiPriority w:val="99"/>
    <w:rPr>
      <w:color w:val="0000FF"/>
      <w:u w:val="single"/>
    </w:rPr>
  </w:style>
  <w:style w:type="character" w:styleId="19">
    <w:name w:val="annotation reference"/>
    <w:basedOn w:val="17"/>
    <w:qFormat/>
    <w:uiPriority w:val="0"/>
    <w:rPr>
      <w:sz w:val="21"/>
      <w:szCs w:val="21"/>
    </w:rPr>
  </w:style>
  <w:style w:type="character" w:customStyle="1" w:styleId="20">
    <w:name w:val="标题 1 字符"/>
    <w:basedOn w:val="17"/>
    <w:link w:val="2"/>
    <w:qFormat/>
    <w:uiPriority w:val="0"/>
    <w:rPr>
      <w:rFonts w:ascii="宋体" w:hAnsi="宋体" w:eastAsia="宋体" w:cs="宋体"/>
      <w:b/>
      <w:bCs/>
      <w:kern w:val="44"/>
      <w:sz w:val="44"/>
      <w:szCs w:val="44"/>
    </w:rPr>
  </w:style>
  <w:style w:type="character" w:customStyle="1" w:styleId="21">
    <w:name w:val="标题 2 字符"/>
    <w:basedOn w:val="17"/>
    <w:link w:val="3"/>
    <w:qFormat/>
    <w:uiPriority w:val="0"/>
    <w:rPr>
      <w:rFonts w:asciiTheme="majorHAnsi" w:hAnsiTheme="majorHAnsi" w:eastAsiaTheme="majorEastAsia" w:cstheme="majorBidi"/>
      <w:b/>
      <w:bCs/>
      <w:sz w:val="32"/>
      <w:szCs w:val="32"/>
    </w:rPr>
  </w:style>
  <w:style w:type="character" w:customStyle="1" w:styleId="22">
    <w:name w:val="标题 3 字符"/>
    <w:basedOn w:val="17"/>
    <w:link w:val="4"/>
    <w:qFormat/>
    <w:uiPriority w:val="0"/>
    <w:rPr>
      <w:rFonts w:ascii="宋体" w:hAnsi="宋体" w:eastAsia="宋体" w:cs="宋体"/>
      <w:b/>
      <w:bCs/>
      <w:sz w:val="32"/>
      <w:szCs w:val="32"/>
    </w:rPr>
  </w:style>
  <w:style w:type="character" w:customStyle="1" w:styleId="23">
    <w:name w:val="标题 4 字符"/>
    <w:basedOn w:val="17"/>
    <w:link w:val="5"/>
    <w:qFormat/>
    <w:uiPriority w:val="0"/>
    <w:rPr>
      <w:rFonts w:asciiTheme="majorHAnsi" w:hAnsiTheme="majorHAnsi" w:eastAsiaTheme="majorEastAsia" w:cstheme="majorBidi"/>
      <w:b/>
      <w:bCs/>
      <w:sz w:val="28"/>
      <w:szCs w:val="28"/>
    </w:rPr>
  </w:style>
  <w:style w:type="character" w:customStyle="1" w:styleId="24">
    <w:name w:val="标题 5 字符"/>
    <w:basedOn w:val="17"/>
    <w:link w:val="6"/>
    <w:qFormat/>
    <w:uiPriority w:val="0"/>
    <w:rPr>
      <w:rFonts w:ascii="宋体" w:hAnsi="宋体" w:eastAsia="宋体" w:cs="宋体"/>
      <w:b/>
      <w:bCs/>
      <w:sz w:val="28"/>
      <w:szCs w:val="28"/>
    </w:rPr>
  </w:style>
  <w:style w:type="character" w:customStyle="1" w:styleId="25">
    <w:name w:val="标题 6 字符"/>
    <w:basedOn w:val="17"/>
    <w:link w:val="7"/>
    <w:qFormat/>
    <w:uiPriority w:val="0"/>
    <w:rPr>
      <w:rFonts w:asciiTheme="majorHAnsi" w:hAnsiTheme="majorHAnsi" w:eastAsiaTheme="majorEastAsia" w:cstheme="majorBidi"/>
      <w:b/>
      <w:bCs/>
      <w:sz w:val="24"/>
      <w:szCs w:val="24"/>
    </w:rPr>
  </w:style>
  <w:style w:type="paragraph" w:customStyle="1" w:styleId="26">
    <w:name w:val="abc2"/>
    <w:basedOn w:val="1"/>
    <w:qFormat/>
    <w:uiPriority w:val="0"/>
    <w:pPr>
      <w:wordWrap w:val="0"/>
      <w:spacing w:before="100" w:beforeAutospacing="1" w:after="100" w:afterAutospacing="1"/>
    </w:pPr>
    <w:rPr>
      <w:spacing w:val="15"/>
      <w:sz w:val="21"/>
      <w:szCs w:val="21"/>
    </w:rPr>
  </w:style>
  <w:style w:type="paragraph" w:customStyle="1" w:styleId="27">
    <w:name w:val="p3 Char"/>
    <w:basedOn w:val="1"/>
    <w:qFormat/>
    <w:uiPriority w:val="0"/>
    <w:pPr>
      <w:spacing w:before="100" w:beforeAutospacing="1" w:after="100" w:afterAutospacing="1" w:line="600" w:lineRule="atLeast"/>
      <w:ind w:firstLine="480"/>
    </w:pPr>
    <w:rPr>
      <w:sz w:val="26"/>
      <w:szCs w:val="26"/>
    </w:rPr>
  </w:style>
  <w:style w:type="character" w:customStyle="1" w:styleId="28">
    <w:name w:val="HTML 预设格式 字符"/>
    <w:basedOn w:val="17"/>
    <w:link w:val="13"/>
    <w:qFormat/>
    <w:uiPriority w:val="0"/>
    <w:rPr>
      <w:rFonts w:ascii="Courier New" w:hAnsi="Courier New" w:eastAsia="宋体" w:cs="Courier New"/>
    </w:rPr>
  </w:style>
  <w:style w:type="paragraph" w:customStyle="1" w:styleId="29">
    <w:name w:val="style11"/>
    <w:basedOn w:val="1"/>
    <w:qFormat/>
    <w:uiPriority w:val="0"/>
    <w:pPr>
      <w:spacing w:before="100" w:beforeAutospacing="1" w:after="100" w:afterAutospacing="1"/>
    </w:pPr>
  </w:style>
  <w:style w:type="paragraph" w:customStyle="1" w:styleId="30">
    <w:name w:val="abc6"/>
    <w:basedOn w:val="1"/>
    <w:qFormat/>
    <w:uiPriority w:val="0"/>
    <w:pPr>
      <w:wordWrap w:val="0"/>
      <w:spacing w:before="100" w:beforeAutospacing="1" w:after="100" w:afterAutospacing="1"/>
    </w:pPr>
    <w:rPr>
      <w:spacing w:val="15"/>
      <w:sz w:val="21"/>
      <w:szCs w:val="21"/>
    </w:rPr>
  </w:style>
  <w:style w:type="character" w:customStyle="1" w:styleId="31">
    <w:name w:val="页脚 字符"/>
    <w:basedOn w:val="17"/>
    <w:link w:val="11"/>
    <w:qFormat/>
    <w:uiPriority w:val="0"/>
    <w:rPr>
      <w:rFonts w:ascii="宋体" w:hAnsi="宋体" w:eastAsia="宋体" w:cs="宋体"/>
      <w:sz w:val="18"/>
      <w:szCs w:val="18"/>
    </w:rPr>
  </w:style>
  <w:style w:type="paragraph" w:customStyle="1" w:styleId="32">
    <w:name w:val="msochpdefault"/>
    <w:basedOn w:val="1"/>
    <w:qFormat/>
    <w:uiPriority w:val="0"/>
  </w:style>
  <w:style w:type="paragraph" w:customStyle="1" w:styleId="33">
    <w:name w:val="style10"/>
    <w:basedOn w:val="1"/>
    <w:qFormat/>
    <w:uiPriority w:val="0"/>
    <w:pPr>
      <w:spacing w:before="100" w:beforeAutospacing="1" w:after="100" w:afterAutospacing="1"/>
    </w:pPr>
    <w:rPr>
      <w:sz w:val="27"/>
      <w:szCs w:val="27"/>
    </w:rPr>
  </w:style>
  <w:style w:type="paragraph" w:customStyle="1" w:styleId="34">
    <w:name w:val="btn"/>
    <w:basedOn w:val="1"/>
    <w:qFormat/>
    <w:uiPriority w:val="0"/>
    <w:pPr>
      <w:pBdr>
        <w:top w:val="single" w:color="7B9EBD" w:sz="6" w:space="2"/>
        <w:left w:val="single" w:color="7B9EBD" w:sz="6" w:space="2"/>
        <w:bottom w:val="single" w:color="7B9EBD" w:sz="6" w:space="0"/>
        <w:right w:val="single" w:color="7B9EBD" w:sz="6" w:space="2"/>
      </w:pBdr>
      <w:spacing w:before="100" w:beforeAutospacing="1" w:after="100" w:afterAutospacing="1"/>
    </w:pPr>
    <w:rPr>
      <w:color w:val="000000"/>
      <w:sz w:val="18"/>
      <w:szCs w:val="18"/>
    </w:rPr>
  </w:style>
  <w:style w:type="paragraph" w:customStyle="1" w:styleId="35">
    <w:name w:val="bm"/>
    <w:basedOn w:val="1"/>
    <w:qFormat/>
    <w:uiPriority w:val="0"/>
    <w:pPr>
      <w:spacing w:before="100" w:beforeAutospacing="1" w:after="100" w:afterAutospacing="1"/>
    </w:pPr>
    <w:rPr>
      <w:u w:val="single"/>
    </w:rPr>
  </w:style>
  <w:style w:type="paragraph" w:customStyle="1" w:styleId="36">
    <w:name w:val="abc"/>
    <w:basedOn w:val="1"/>
    <w:qFormat/>
    <w:uiPriority w:val="0"/>
    <w:pPr>
      <w:wordWrap w:val="0"/>
      <w:spacing w:before="100" w:beforeAutospacing="1" w:after="100" w:afterAutospacing="1"/>
    </w:pPr>
    <w:rPr>
      <w:spacing w:val="15"/>
      <w:sz w:val="21"/>
      <w:szCs w:val="21"/>
    </w:rPr>
  </w:style>
  <w:style w:type="paragraph" w:customStyle="1" w:styleId="37">
    <w:name w:val="font_tishi"/>
    <w:basedOn w:val="1"/>
    <w:qFormat/>
    <w:uiPriority w:val="0"/>
    <w:pPr>
      <w:spacing w:before="100" w:beforeAutospacing="1" w:after="100" w:afterAutospacing="1"/>
    </w:pPr>
    <w:rPr>
      <w:color w:val="777777"/>
      <w:spacing w:val="30"/>
      <w:sz w:val="23"/>
      <w:szCs w:val="23"/>
    </w:rPr>
  </w:style>
  <w:style w:type="paragraph" w:customStyle="1" w:styleId="38">
    <w:name w:val="def2"/>
    <w:basedOn w:val="1"/>
    <w:qFormat/>
    <w:uiPriority w:val="0"/>
    <w:pPr>
      <w:wordWrap w:val="0"/>
      <w:spacing w:before="100" w:beforeAutospacing="1" w:after="100" w:afterAutospacing="1"/>
    </w:pPr>
    <w:rPr>
      <w:spacing w:val="15"/>
      <w:sz w:val="21"/>
      <w:szCs w:val="21"/>
    </w:rPr>
  </w:style>
  <w:style w:type="paragraph" w:customStyle="1" w:styleId="39">
    <w:name w:val="style6"/>
    <w:basedOn w:val="1"/>
    <w:qFormat/>
    <w:uiPriority w:val="0"/>
    <w:pPr>
      <w:spacing w:before="100" w:beforeAutospacing="1" w:after="100" w:afterAutospacing="1"/>
    </w:pPr>
    <w:rPr>
      <w:sz w:val="36"/>
      <w:szCs w:val="36"/>
    </w:rPr>
  </w:style>
  <w:style w:type="paragraph" w:customStyle="1" w:styleId="40">
    <w:name w:val="def111"/>
    <w:basedOn w:val="1"/>
    <w:qFormat/>
    <w:uiPriority w:val="0"/>
    <w:pPr>
      <w:wordWrap w:val="0"/>
      <w:spacing w:before="100" w:beforeAutospacing="1" w:after="100" w:afterAutospacing="1"/>
    </w:pPr>
    <w:rPr>
      <w:spacing w:val="15"/>
      <w:sz w:val="21"/>
      <w:szCs w:val="21"/>
    </w:rPr>
  </w:style>
  <w:style w:type="paragraph" w:customStyle="1" w:styleId="41">
    <w:name w:val="def1"/>
    <w:basedOn w:val="1"/>
    <w:qFormat/>
    <w:uiPriority w:val="0"/>
    <w:pPr>
      <w:wordWrap w:val="0"/>
      <w:spacing w:before="100" w:beforeAutospacing="1" w:after="100" w:afterAutospacing="1"/>
    </w:pPr>
    <w:rPr>
      <w:spacing w:val="15"/>
      <w:sz w:val="21"/>
      <w:szCs w:val="21"/>
    </w:rPr>
  </w:style>
  <w:style w:type="paragraph" w:customStyle="1" w:styleId="42">
    <w:name w:val="p2"/>
    <w:basedOn w:val="1"/>
    <w:qFormat/>
    <w:uiPriority w:val="0"/>
    <w:pPr>
      <w:spacing w:before="100" w:beforeAutospacing="1" w:after="100" w:afterAutospacing="1" w:line="540" w:lineRule="atLeast"/>
      <w:ind w:firstLine="480"/>
    </w:pPr>
  </w:style>
  <w:style w:type="paragraph" w:customStyle="1" w:styleId="43">
    <w:name w:val="abc11"/>
    <w:basedOn w:val="1"/>
    <w:qFormat/>
    <w:uiPriority w:val="0"/>
    <w:pPr>
      <w:wordWrap w:val="0"/>
      <w:spacing w:before="100" w:beforeAutospacing="1" w:after="100" w:afterAutospacing="1"/>
    </w:pPr>
    <w:rPr>
      <w:spacing w:val="15"/>
      <w:sz w:val="21"/>
      <w:szCs w:val="21"/>
    </w:rPr>
  </w:style>
  <w:style w:type="paragraph" w:customStyle="1" w:styleId="44">
    <w:name w:val="abc3"/>
    <w:basedOn w:val="1"/>
    <w:qFormat/>
    <w:uiPriority w:val="0"/>
    <w:pPr>
      <w:wordWrap w:val="0"/>
      <w:spacing w:before="100" w:beforeAutospacing="1" w:after="100" w:afterAutospacing="1"/>
    </w:pPr>
    <w:rPr>
      <w:spacing w:val="15"/>
      <w:sz w:val="21"/>
      <w:szCs w:val="21"/>
    </w:rPr>
  </w:style>
  <w:style w:type="paragraph" w:customStyle="1" w:styleId="45">
    <w:name w:val="gh"/>
    <w:basedOn w:val="1"/>
    <w:qFormat/>
    <w:uiPriority w:val="0"/>
  </w:style>
  <w:style w:type="paragraph" w:customStyle="1" w:styleId="46">
    <w:name w:val="def"/>
    <w:basedOn w:val="1"/>
    <w:qFormat/>
    <w:uiPriority w:val="0"/>
    <w:pPr>
      <w:wordWrap w:val="0"/>
      <w:spacing w:before="100" w:beforeAutospacing="1" w:after="100" w:afterAutospacing="1"/>
    </w:pPr>
    <w:rPr>
      <w:spacing w:val="15"/>
      <w:sz w:val="21"/>
      <w:szCs w:val="21"/>
    </w:rPr>
  </w:style>
  <w:style w:type="paragraph" w:customStyle="1" w:styleId="47">
    <w:name w:val="abc5"/>
    <w:basedOn w:val="1"/>
    <w:qFormat/>
    <w:uiPriority w:val="0"/>
    <w:pPr>
      <w:wordWrap w:val="0"/>
      <w:spacing w:before="100" w:beforeAutospacing="1" w:after="100" w:afterAutospacing="1"/>
    </w:pPr>
    <w:rPr>
      <w:spacing w:val="15"/>
      <w:sz w:val="21"/>
      <w:szCs w:val="21"/>
    </w:rPr>
  </w:style>
  <w:style w:type="paragraph" w:customStyle="1" w:styleId="48">
    <w:name w:val="style5"/>
    <w:basedOn w:val="1"/>
    <w:qFormat/>
    <w:uiPriority w:val="0"/>
    <w:pPr>
      <w:spacing w:before="100" w:beforeAutospacing="1" w:after="100" w:afterAutospacing="1"/>
    </w:pPr>
    <w:rPr>
      <w:b/>
      <w:bCs/>
      <w:sz w:val="36"/>
      <w:szCs w:val="36"/>
    </w:rPr>
  </w:style>
  <w:style w:type="paragraph" w:customStyle="1" w:styleId="49">
    <w:name w:val="p1"/>
    <w:basedOn w:val="1"/>
    <w:qFormat/>
    <w:uiPriority w:val="0"/>
    <w:pPr>
      <w:spacing w:before="100" w:beforeAutospacing="1" w:after="100" w:afterAutospacing="1" w:line="240" w:lineRule="atLeast"/>
    </w:pPr>
  </w:style>
  <w:style w:type="paragraph" w:customStyle="1" w:styleId="50">
    <w:name w:val="style4"/>
    <w:basedOn w:val="1"/>
    <w:qFormat/>
    <w:uiPriority w:val="0"/>
    <w:pPr>
      <w:spacing w:before="100" w:beforeAutospacing="1" w:after="100" w:afterAutospacing="1"/>
    </w:pPr>
    <w:rPr>
      <w:sz w:val="54"/>
      <w:szCs w:val="54"/>
    </w:rPr>
  </w:style>
  <w:style w:type="paragraph" w:customStyle="1" w:styleId="51">
    <w:name w:val="abc4"/>
    <w:basedOn w:val="1"/>
    <w:qFormat/>
    <w:uiPriority w:val="0"/>
    <w:pPr>
      <w:wordWrap w:val="0"/>
      <w:spacing w:before="100" w:beforeAutospacing="1" w:after="100" w:afterAutospacing="1"/>
    </w:pPr>
    <w:rPr>
      <w:spacing w:val="15"/>
      <w:sz w:val="21"/>
      <w:szCs w:val="21"/>
    </w:rPr>
  </w:style>
  <w:style w:type="paragraph" w:customStyle="1" w:styleId="52">
    <w:name w:val="middle-demo-2"/>
    <w:basedOn w:val="1"/>
    <w:qFormat/>
    <w:uiPriority w:val="0"/>
    <w:pPr>
      <w:spacing w:before="100" w:beforeAutospacing="1" w:after="100" w:afterAutospacing="1"/>
    </w:pPr>
  </w:style>
  <w:style w:type="paragraph" w:customStyle="1" w:styleId="53">
    <w:name w:val="style8"/>
    <w:basedOn w:val="1"/>
    <w:qFormat/>
    <w:uiPriority w:val="0"/>
    <w:pPr>
      <w:spacing w:before="100" w:beforeAutospacing="1" w:after="100" w:afterAutospacing="1"/>
    </w:pPr>
    <w:rPr>
      <w:b/>
      <w:bCs/>
      <w:color w:val="000000"/>
    </w:rPr>
  </w:style>
  <w:style w:type="character" w:customStyle="1" w:styleId="54">
    <w:name w:val="10"/>
    <w:basedOn w:val="17"/>
    <w:qFormat/>
    <w:uiPriority w:val="0"/>
    <w:rPr>
      <w:rFonts w:hint="default" w:ascii="Times New Roman" w:hAnsi="Times New Roman" w:cs="Times New Roman"/>
    </w:rPr>
  </w:style>
  <w:style w:type="character" w:customStyle="1" w:styleId="55">
    <w:name w:val="15"/>
    <w:basedOn w:val="17"/>
    <w:qFormat/>
    <w:uiPriority w:val="0"/>
    <w:rPr>
      <w:rFonts w:hint="default" w:ascii="Times New Roman" w:hAnsi="Times New Roman" w:cs="Times New Roman"/>
      <w:b/>
      <w:bCs/>
      <w:color w:val="000000"/>
      <w:sz w:val="24"/>
      <w:szCs w:val="24"/>
    </w:rPr>
  </w:style>
  <w:style w:type="character" w:customStyle="1" w:styleId="56">
    <w:name w:val="16"/>
    <w:basedOn w:val="17"/>
    <w:qFormat/>
    <w:uiPriority w:val="0"/>
    <w:rPr>
      <w:rFonts w:hint="default" w:ascii="Times New Roman" w:hAnsi="Times New Roman" w:cs="Times New Roman"/>
      <w:b/>
      <w:bCs/>
      <w:sz w:val="36"/>
      <w:szCs w:val="36"/>
    </w:rPr>
  </w:style>
  <w:style w:type="character" w:customStyle="1" w:styleId="57">
    <w:name w:val="17"/>
    <w:basedOn w:val="17"/>
    <w:qFormat/>
    <w:uiPriority w:val="0"/>
    <w:rPr>
      <w:rFonts w:hint="default" w:ascii="Times New Roman" w:hAnsi="Times New Roman" w:cs="Times New Roman"/>
      <w:sz w:val="24"/>
      <w:szCs w:val="24"/>
    </w:rPr>
  </w:style>
  <w:style w:type="character" w:customStyle="1" w:styleId="58">
    <w:name w:val="18"/>
    <w:basedOn w:val="17"/>
    <w:qFormat/>
    <w:uiPriority w:val="0"/>
    <w:rPr>
      <w:rFonts w:hint="default" w:ascii="Times New Roman" w:hAnsi="Times New Roman" w:cs="Times New Roman"/>
      <w:sz w:val="54"/>
      <w:szCs w:val="54"/>
    </w:rPr>
  </w:style>
  <w:style w:type="character" w:customStyle="1" w:styleId="59">
    <w:name w:val="19"/>
    <w:basedOn w:val="17"/>
    <w:qFormat/>
    <w:uiPriority w:val="0"/>
    <w:rPr>
      <w:rFonts w:hint="default" w:ascii="Times New Roman" w:hAnsi="Times New Roman" w:cs="Times New Roman"/>
      <w:b/>
      <w:bCs/>
    </w:rPr>
  </w:style>
  <w:style w:type="character" w:customStyle="1" w:styleId="60">
    <w:name w:val="20"/>
    <w:basedOn w:val="17"/>
    <w:qFormat/>
    <w:uiPriority w:val="0"/>
    <w:rPr>
      <w:rFonts w:hint="default" w:ascii="Times New Roman" w:hAnsi="Times New Roman" w:cs="Times New Roman"/>
      <w:sz w:val="36"/>
      <w:szCs w:val="36"/>
    </w:rPr>
  </w:style>
  <w:style w:type="character" w:customStyle="1" w:styleId="61">
    <w:name w:val="页眉 字符"/>
    <w:basedOn w:val="17"/>
    <w:link w:val="12"/>
    <w:qFormat/>
    <w:uiPriority w:val="0"/>
    <w:rPr>
      <w:rFonts w:ascii="宋体" w:hAnsi="宋体" w:eastAsia="宋体" w:cs="宋体"/>
      <w:sz w:val="18"/>
      <w:szCs w:val="18"/>
    </w:rPr>
  </w:style>
  <w:style w:type="character" w:customStyle="1" w:styleId="62">
    <w:name w:val="批注框文本 字符"/>
    <w:basedOn w:val="17"/>
    <w:link w:val="10"/>
    <w:qFormat/>
    <w:uiPriority w:val="0"/>
    <w:rPr>
      <w:rFonts w:ascii="宋体" w:hAnsi="宋体" w:eastAsia="宋体" w:cs="宋体"/>
      <w:sz w:val="18"/>
      <w:szCs w:val="18"/>
    </w:rPr>
  </w:style>
  <w:style w:type="paragraph" w:customStyle="1" w:styleId="63">
    <w:name w:val="正文1"/>
    <w:qFormat/>
    <w:uiPriority w:val="0"/>
    <w:pPr>
      <w:jc w:val="both"/>
    </w:pPr>
    <w:rPr>
      <w:rFonts w:ascii="Times New Roman" w:hAnsi="Times New Roman" w:eastAsia="宋体" w:cs="Times New Roman"/>
      <w:kern w:val="2"/>
      <w:sz w:val="21"/>
      <w:szCs w:val="21"/>
      <w:lang w:val="en-US" w:eastAsia="zh-CN" w:bidi="ar-SA"/>
    </w:rPr>
  </w:style>
  <w:style w:type="character" w:customStyle="1" w:styleId="64">
    <w:name w:val="正文文本 字符"/>
    <w:basedOn w:val="17"/>
    <w:link w:val="9"/>
    <w:qFormat/>
    <w:uiPriority w:val="0"/>
    <w:rPr>
      <w:rFonts w:ascii="宋体" w:hAnsi="宋体" w:cs="宋体"/>
      <w:sz w:val="24"/>
      <w:szCs w:val="24"/>
    </w:rPr>
  </w:style>
  <w:style w:type="paragraph" w:customStyle="1" w:styleId="65">
    <w:name w:val="表内文字"/>
    <w:basedOn w:val="1"/>
    <w:link w:val="68"/>
    <w:qFormat/>
    <w:uiPriority w:val="0"/>
    <w:pPr>
      <w:snapToGrid w:val="0"/>
      <w:spacing w:before="20"/>
      <w:ind w:right="26"/>
    </w:pPr>
    <w:rPr>
      <w:rFonts w:ascii="Times New Roman" w:hAnsi="Times New Roman"/>
      <w:sz w:val="18"/>
      <w:szCs w:val="18"/>
    </w:rPr>
  </w:style>
  <w:style w:type="character" w:customStyle="1" w:styleId="66">
    <w:name w:val="555-正文 Char Char"/>
    <w:link w:val="67"/>
    <w:qFormat/>
    <w:uiPriority w:val="0"/>
    <w:rPr>
      <w:color w:val="000000"/>
      <w:kern w:val="2"/>
      <w:sz w:val="24"/>
    </w:rPr>
  </w:style>
  <w:style w:type="paragraph" w:customStyle="1" w:styleId="67">
    <w:name w:val="555-正文"/>
    <w:basedOn w:val="1"/>
    <w:link w:val="66"/>
    <w:qFormat/>
    <w:uiPriority w:val="0"/>
    <w:pPr>
      <w:widowControl w:val="0"/>
      <w:spacing w:line="360" w:lineRule="auto"/>
      <w:ind w:firstLine="200" w:firstLineChars="200"/>
      <w:jc w:val="both"/>
    </w:pPr>
    <w:rPr>
      <w:rFonts w:ascii="Times New Roman" w:hAnsi="Times New Roman" w:cs="Times New Roman"/>
      <w:color w:val="000000"/>
      <w:kern w:val="2"/>
      <w:szCs w:val="20"/>
    </w:rPr>
  </w:style>
  <w:style w:type="character" w:customStyle="1" w:styleId="68">
    <w:name w:val="表内文字 字符"/>
    <w:basedOn w:val="17"/>
    <w:link w:val="65"/>
    <w:qFormat/>
    <w:uiPriority w:val="0"/>
    <w:rPr>
      <w:rFonts w:cs="宋体"/>
      <w:sz w:val="18"/>
      <w:szCs w:val="18"/>
    </w:rPr>
  </w:style>
  <w:style w:type="paragraph" w:customStyle="1" w:styleId="69">
    <w:name w:val="正文 Char"/>
    <w:basedOn w:val="1"/>
    <w:link w:val="71"/>
    <w:qFormat/>
    <w:uiPriority w:val="0"/>
    <w:rPr>
      <w:rFonts w:hint="eastAsia" w:ascii="Times New Roman" w:hAnsi="Times New Roman" w:cs="Times New Roman"/>
    </w:rPr>
  </w:style>
  <w:style w:type="paragraph" w:customStyle="1" w:styleId="70">
    <w:name w:val="参考文献"/>
    <w:basedOn w:val="69"/>
    <w:link w:val="72"/>
    <w:qFormat/>
    <w:uiPriority w:val="0"/>
    <w:pPr>
      <w:spacing w:line="360" w:lineRule="auto"/>
      <w:jc w:val="both"/>
    </w:pPr>
    <w:rPr>
      <w:rFonts w:hint="default"/>
      <w:bCs/>
      <w:sz w:val="21"/>
    </w:rPr>
  </w:style>
  <w:style w:type="character" w:customStyle="1" w:styleId="71">
    <w:name w:val="正文 Char 字符"/>
    <w:basedOn w:val="17"/>
    <w:link w:val="69"/>
    <w:qFormat/>
    <w:uiPriority w:val="0"/>
    <w:rPr>
      <w:sz w:val="24"/>
      <w:szCs w:val="24"/>
    </w:rPr>
  </w:style>
  <w:style w:type="character" w:customStyle="1" w:styleId="72">
    <w:name w:val="参考文献 字符"/>
    <w:basedOn w:val="71"/>
    <w:link w:val="70"/>
    <w:qFormat/>
    <w:uiPriority w:val="0"/>
    <w:rPr>
      <w:bCs/>
      <w:sz w:val="21"/>
      <w:szCs w:val="24"/>
    </w:rPr>
  </w:style>
  <w:style w:type="character" w:customStyle="1" w:styleId="73">
    <w:name w:val="批注文字 字符"/>
    <w:basedOn w:val="17"/>
    <w:qFormat/>
    <w:uiPriority w:val="0"/>
    <w:rPr>
      <w:rFonts w:ascii="宋体" w:hAnsi="宋体" w:cs="宋体"/>
      <w:sz w:val="24"/>
      <w:szCs w:val="24"/>
    </w:rPr>
  </w:style>
  <w:style w:type="character" w:customStyle="1" w:styleId="74">
    <w:name w:val="批注文字 字符1"/>
    <w:link w:val="8"/>
    <w:qFormat/>
    <w:locked/>
    <w:uiPriority w:val="0"/>
    <w:rPr>
      <w:rFonts w:cs="宋体"/>
      <w:sz w:val="24"/>
      <w:szCs w:val="24"/>
    </w:rPr>
  </w:style>
  <w:style w:type="character" w:customStyle="1" w:styleId="75">
    <w:name w:val="fontstyle01"/>
    <w:uiPriority w:val="0"/>
    <w:rPr>
      <w:rFonts w:hint="default" w:ascii="TimesNewRoman" w:hAnsi="TimesNewRoman"/>
      <w:b/>
      <w:bCs/>
      <w:color w:val="000000"/>
      <w:sz w:val="24"/>
      <w:szCs w:val="24"/>
    </w:rPr>
  </w:style>
  <w:style w:type="character" w:customStyle="1" w:styleId="76">
    <w:name w:val="fontstyle21"/>
    <w:qFormat/>
    <w:uiPriority w:val="0"/>
    <w:rPr>
      <w:rFonts w:hint="default" w:ascii="TT20o00" w:hAnsi="TT20o00"/>
      <w:color w:val="000000"/>
      <w:sz w:val="24"/>
      <w:szCs w:val="24"/>
    </w:rPr>
  </w:style>
  <w:style w:type="character" w:customStyle="1" w:styleId="77">
    <w:name w:val="fontstyle41"/>
    <w:uiPriority w:val="0"/>
    <w:rPr>
      <w:rFonts w:hint="default" w:ascii="TT1Do00" w:hAnsi="TT1Do00"/>
      <w:color w:val="000000"/>
      <w:sz w:val="24"/>
      <w:szCs w:val="24"/>
    </w:rPr>
  </w:style>
  <w:style w:type="character" w:customStyle="1" w:styleId="78">
    <w:name w:val="fontstyle51"/>
    <w:qFormat/>
    <w:uiPriority w:val="0"/>
    <w:rPr>
      <w:rFonts w:hint="default" w:ascii="TimesNewRoman" w:hAnsi="TimesNewRoman"/>
      <w:color w:val="000000"/>
      <w:sz w:val="24"/>
      <w:szCs w:val="24"/>
    </w:rPr>
  </w:style>
  <w:style w:type="character" w:customStyle="1" w:styleId="79">
    <w:name w:val="fontstyle61"/>
    <w:qFormat/>
    <w:uiPriority w:val="0"/>
    <w:rPr>
      <w:rFonts w:hint="default" w:ascii="TT1Do02" w:hAnsi="TT1Do02"/>
      <w:color w:val="000000"/>
      <w:sz w:val="24"/>
      <w:szCs w:val="24"/>
    </w:rPr>
  </w:style>
  <w:style w:type="paragraph" w:customStyle="1" w:styleId="80">
    <w:name w:val="2级标题"/>
    <w:basedOn w:val="1"/>
    <w:link w:val="82"/>
    <w:qFormat/>
    <w:uiPriority w:val="0"/>
    <w:pPr>
      <w:spacing w:before="120" w:after="240"/>
    </w:pPr>
    <w:rPr>
      <w:rFonts w:ascii="Times New Roman" w:hAnsi="Times New Roman"/>
      <w:b/>
      <w:color w:val="000000"/>
    </w:rPr>
  </w:style>
  <w:style w:type="paragraph" w:customStyle="1" w:styleId="81">
    <w:name w:val="图题"/>
    <w:basedOn w:val="1"/>
    <w:link w:val="83"/>
    <w:qFormat/>
    <w:uiPriority w:val="0"/>
    <w:pPr>
      <w:spacing w:line="360" w:lineRule="auto"/>
      <w:ind w:firstLine="420" w:firstLineChars="200"/>
      <w:jc w:val="center"/>
    </w:pPr>
    <w:rPr>
      <w:color w:val="000000"/>
      <w:sz w:val="21"/>
    </w:rPr>
  </w:style>
  <w:style w:type="character" w:customStyle="1" w:styleId="82">
    <w:name w:val="2级标题 字符"/>
    <w:basedOn w:val="17"/>
    <w:link w:val="80"/>
    <w:uiPriority w:val="0"/>
    <w:rPr>
      <w:rFonts w:cs="宋体"/>
      <w:b/>
      <w:color w:val="000000"/>
      <w:sz w:val="24"/>
      <w:szCs w:val="24"/>
    </w:rPr>
  </w:style>
  <w:style w:type="character" w:customStyle="1" w:styleId="83">
    <w:name w:val="图题 字符"/>
    <w:basedOn w:val="17"/>
    <w:link w:val="81"/>
    <w:uiPriority w:val="0"/>
    <w:rPr>
      <w:rFonts w:ascii="宋体" w:hAnsi="宋体" w:cs="宋体"/>
      <w:color w:val="000000"/>
      <w:sz w:val="21"/>
      <w:szCs w:val="24"/>
    </w:rPr>
  </w:style>
  <w:style w:type="character" w:customStyle="1" w:styleId="84">
    <w:name w:val="批注主题 字符"/>
    <w:basedOn w:val="74"/>
    <w:link w:val="15"/>
    <w:uiPriority w:val="0"/>
    <w:rPr>
      <w:rFonts w:ascii="宋体" w:hAnsi="宋体" w:cs="宋体"/>
      <w:b/>
      <w:bCs/>
      <w:sz w:val="24"/>
      <w:szCs w:val="24"/>
    </w:rPr>
  </w:style>
  <w:style w:type="paragraph" w:customStyle="1" w:styleId="85">
    <w:name w:val="正文8.17"/>
    <w:basedOn w:val="1"/>
    <w:link w:val="86"/>
    <w:qFormat/>
    <w:uiPriority w:val="0"/>
    <w:pPr>
      <w:widowControl w:val="0"/>
      <w:spacing w:line="400" w:lineRule="exact"/>
      <w:ind w:firstLine="200" w:firstLineChars="200"/>
      <w:jc w:val="both"/>
    </w:pPr>
    <w:rPr>
      <w:rFonts w:ascii="Times New Roman" w:hAnsi="Times New Roman" w:cs="Times New Roman"/>
      <w:kern w:val="2"/>
    </w:rPr>
  </w:style>
  <w:style w:type="character" w:customStyle="1" w:styleId="86">
    <w:name w:val="正文8.17 字符"/>
    <w:basedOn w:val="17"/>
    <w:link w:val="85"/>
    <w:qFormat/>
    <w:uiPriority w:val="0"/>
    <w:rPr>
      <w:kern w:val="2"/>
      <w:sz w:val="24"/>
      <w:szCs w:val="24"/>
    </w:rPr>
  </w:style>
  <w:style w:type="paragraph" w:customStyle="1" w:styleId="87">
    <w:name w:val="正文2"/>
    <w:link w:val="89"/>
    <w:uiPriority w:val="0"/>
    <w:pPr>
      <w:jc w:val="both"/>
    </w:pPr>
    <w:rPr>
      <w:rFonts w:ascii="Calibri" w:hAnsi="Calibri" w:eastAsia="宋体" w:cs="Calibri"/>
      <w:kern w:val="2"/>
      <w:sz w:val="21"/>
      <w:szCs w:val="21"/>
      <w:lang w:val="en-US" w:eastAsia="zh-CN" w:bidi="ar-SA"/>
    </w:rPr>
  </w:style>
  <w:style w:type="paragraph" w:customStyle="1" w:styleId="88">
    <w:name w:val="公式"/>
    <w:basedOn w:val="87"/>
    <w:link w:val="90"/>
    <w:qFormat/>
    <w:uiPriority w:val="0"/>
    <w:pPr>
      <w:tabs>
        <w:tab w:val="center" w:pos="4111"/>
        <w:tab w:val="left" w:pos="8503"/>
      </w:tabs>
      <w:jc w:val="center"/>
    </w:pPr>
    <w:rPr>
      <w:rFonts w:ascii="Times New Roman" w:hAnsi="Times New Roman" w:cs="Times New Roman"/>
      <w:sz w:val="24"/>
      <w:szCs w:val="24"/>
    </w:rPr>
  </w:style>
  <w:style w:type="character" w:customStyle="1" w:styleId="89">
    <w:name w:val="Normal 字符"/>
    <w:basedOn w:val="17"/>
    <w:link w:val="87"/>
    <w:uiPriority w:val="0"/>
    <w:rPr>
      <w:rFonts w:ascii="Calibri" w:hAnsi="Calibri" w:cs="Calibri"/>
      <w:kern w:val="2"/>
      <w:sz w:val="21"/>
      <w:szCs w:val="21"/>
    </w:rPr>
  </w:style>
  <w:style w:type="character" w:customStyle="1" w:styleId="90">
    <w:name w:val="公式 字符"/>
    <w:basedOn w:val="89"/>
    <w:link w:val="88"/>
    <w:uiPriority w:val="0"/>
    <w:rPr>
      <w:rFonts w:ascii="Calibri" w:hAnsi="Calibri" w:cs="Calibri"/>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37.emf"/><Relationship Id="rId7" Type="http://schemas.openxmlformats.org/officeDocument/2006/relationships/image" Target="media/image4.emf"/><Relationship Id="rId69" Type="http://schemas.openxmlformats.org/officeDocument/2006/relationships/image" Target="media/image36.wmf"/><Relationship Id="rId68" Type="http://schemas.openxmlformats.org/officeDocument/2006/relationships/oleObject" Target="embeddings/oleObject30.bin"/><Relationship Id="rId67" Type="http://schemas.openxmlformats.org/officeDocument/2006/relationships/image" Target="media/image35.wmf"/><Relationship Id="rId66" Type="http://schemas.openxmlformats.org/officeDocument/2006/relationships/oleObject" Target="embeddings/oleObject29.bin"/><Relationship Id="rId65" Type="http://schemas.openxmlformats.org/officeDocument/2006/relationships/image" Target="media/image34.wmf"/><Relationship Id="rId64" Type="http://schemas.openxmlformats.org/officeDocument/2006/relationships/oleObject" Target="embeddings/oleObject28.bin"/><Relationship Id="rId63" Type="http://schemas.openxmlformats.org/officeDocument/2006/relationships/image" Target="media/image33.wmf"/><Relationship Id="rId62" Type="http://schemas.openxmlformats.org/officeDocument/2006/relationships/oleObject" Target="embeddings/oleObject27.bin"/><Relationship Id="rId61" Type="http://schemas.openxmlformats.org/officeDocument/2006/relationships/image" Target="media/image32.wmf"/><Relationship Id="rId60" Type="http://schemas.openxmlformats.org/officeDocument/2006/relationships/oleObject" Target="embeddings/oleObject26.bin"/><Relationship Id="rId6" Type="http://schemas.openxmlformats.org/officeDocument/2006/relationships/image" Target="media/image3.emf"/><Relationship Id="rId59" Type="http://schemas.openxmlformats.org/officeDocument/2006/relationships/image" Target="media/image31.wmf"/><Relationship Id="rId58" Type="http://schemas.openxmlformats.org/officeDocument/2006/relationships/oleObject" Target="embeddings/oleObject25.bin"/><Relationship Id="rId57" Type="http://schemas.openxmlformats.org/officeDocument/2006/relationships/image" Target="media/image30.wmf"/><Relationship Id="rId56" Type="http://schemas.openxmlformats.org/officeDocument/2006/relationships/oleObject" Target="embeddings/oleObject24.bin"/><Relationship Id="rId55" Type="http://schemas.openxmlformats.org/officeDocument/2006/relationships/image" Target="media/image29.emf"/><Relationship Id="rId54" Type="http://schemas.openxmlformats.org/officeDocument/2006/relationships/image" Target="media/image28.wmf"/><Relationship Id="rId53" Type="http://schemas.openxmlformats.org/officeDocument/2006/relationships/oleObject" Target="embeddings/oleObject23.bin"/><Relationship Id="rId52" Type="http://schemas.openxmlformats.org/officeDocument/2006/relationships/image" Target="media/image27.wmf"/><Relationship Id="rId51" Type="http://schemas.openxmlformats.org/officeDocument/2006/relationships/oleObject" Target="embeddings/oleObject22.bin"/><Relationship Id="rId50" Type="http://schemas.openxmlformats.org/officeDocument/2006/relationships/image" Target="media/image26.wmf"/><Relationship Id="rId5" Type="http://schemas.openxmlformats.org/officeDocument/2006/relationships/image" Target="media/image2.emf"/><Relationship Id="rId49" Type="http://schemas.openxmlformats.org/officeDocument/2006/relationships/oleObject" Target="embeddings/oleObject21.bin"/><Relationship Id="rId48" Type="http://schemas.openxmlformats.org/officeDocument/2006/relationships/image" Target="media/image25.wmf"/><Relationship Id="rId47" Type="http://schemas.openxmlformats.org/officeDocument/2006/relationships/oleObject" Target="embeddings/oleObject20.bin"/><Relationship Id="rId46" Type="http://schemas.openxmlformats.org/officeDocument/2006/relationships/image" Target="media/image24.wmf"/><Relationship Id="rId45" Type="http://schemas.openxmlformats.org/officeDocument/2006/relationships/oleObject" Target="embeddings/oleObject19.bin"/><Relationship Id="rId44" Type="http://schemas.openxmlformats.org/officeDocument/2006/relationships/image" Target="media/image23.wmf"/><Relationship Id="rId43" Type="http://schemas.openxmlformats.org/officeDocument/2006/relationships/oleObject" Target="embeddings/oleObject18.bin"/><Relationship Id="rId42" Type="http://schemas.openxmlformats.org/officeDocument/2006/relationships/image" Target="media/image22.wmf"/><Relationship Id="rId41" Type="http://schemas.openxmlformats.org/officeDocument/2006/relationships/oleObject" Target="embeddings/oleObject17.bin"/><Relationship Id="rId40" Type="http://schemas.openxmlformats.org/officeDocument/2006/relationships/image" Target="media/image21.wmf"/><Relationship Id="rId4" Type="http://schemas.openxmlformats.org/officeDocument/2006/relationships/image" Target="media/image1.emf"/><Relationship Id="rId39" Type="http://schemas.openxmlformats.org/officeDocument/2006/relationships/oleObject" Target="embeddings/oleObject16.bin"/><Relationship Id="rId38" Type="http://schemas.openxmlformats.org/officeDocument/2006/relationships/image" Target="media/image20.wmf"/><Relationship Id="rId37" Type="http://schemas.openxmlformats.org/officeDocument/2006/relationships/oleObject" Target="embeddings/oleObject15.bin"/><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image" Target="media/image18.wmf"/><Relationship Id="rId33" Type="http://schemas.openxmlformats.org/officeDocument/2006/relationships/oleObject" Target="embeddings/oleObject13.bin"/><Relationship Id="rId32" Type="http://schemas.openxmlformats.org/officeDocument/2006/relationships/image" Target="media/image17.wmf"/><Relationship Id="rId31" Type="http://schemas.openxmlformats.org/officeDocument/2006/relationships/oleObject" Target="embeddings/oleObject12.bin"/><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wmf"/><Relationship Id="rId17" Type="http://schemas.openxmlformats.org/officeDocument/2006/relationships/oleObject" Target="embeddings/oleObject5.bin"/><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wmf"/><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92A4BB-CF94-4999-A8C3-617788C2FE13}">
  <ds:schemaRefs/>
</ds:datastoreItem>
</file>

<file path=docProps/app.xml><?xml version="1.0" encoding="utf-8"?>
<Properties xmlns="http://schemas.openxmlformats.org/officeDocument/2006/extended-properties" xmlns:vt="http://schemas.openxmlformats.org/officeDocument/2006/docPropsVTypes">
  <Template>Normal</Template>
  <Pages>26</Pages>
  <Words>3068</Words>
  <Characters>17494</Characters>
  <Lines>145</Lines>
  <Paragraphs>41</Paragraphs>
  <TotalTime>4</TotalTime>
  <ScaleCrop>false</ScaleCrop>
  <LinksUpToDate>false</LinksUpToDate>
  <CharactersWithSpaces>20521</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2021-08-17T02:43:00Z</dcterms:created>
  <dc:creator>Administrator</dc:creator>
  <cp:lastModifiedBy>四夕二木</cp:lastModifiedBy>
  <cp:lastPrinted>2021-08-16T01:24:00Z</cp:lastPrinted>
  <dcterms:modified xsi:type="dcterms:W3CDTF">2021-08-18T13:15:27Z</dcterms:modified>
  <dc:title>申报书打印</dc:title>
  <cp:revision>258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D134466FEDEB4536B9ED4E519507AF85</vt:lpwstr>
  </property>
</Properties>
</file>