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Tecnica – Bonus SQL Injection (BW II – Giorno 1)</w:t>
      </w:r>
    </w:p>
    <w:p>
      <w:r>
        <w:t>Il presente elaborato documenta lo svolgimento dell'esercizio bonus eseguito su DVWA con livello di sicurezza Medium. L'obiettivo è replicare la SQL Injection ed estendere l'analisi ai database presenti sul server MySQL.</w:t>
      </w:r>
    </w:p>
    <w:p>
      <w:pPr>
        <w:pStyle w:val="Heading2"/>
      </w:pPr>
      <w:r>
        <w:t>1. Configurazione ambiente</w:t>
      </w:r>
    </w:p>
    <w:p>
      <w:r>
        <w:t>DVWA configurato con livello Medium.</w:t>
      </w:r>
    </w:p>
    <w:p>
      <w:r>
        <w:drawing>
          <wp:inline xmlns:a="http://schemas.openxmlformats.org/drawingml/2006/main" xmlns:pic="http://schemas.openxmlformats.org/drawingml/2006/picture">
            <wp:extent cx="5303520" cy="2043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ploit(1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Screenshot dell'attività svolta.</w:t>
      </w:r>
    </w:p>
    <w:p>
      <w:pPr>
        <w:pStyle w:val="Heading2"/>
      </w:pPr>
      <w:r>
        <w:t>2. Enumerazione dei database</w:t>
      </w:r>
    </w:p>
    <w:p>
      <w:r>
        <w:t>Individuazione dei database presenti sul server MySQL.</w:t>
      </w:r>
    </w:p>
    <w:p>
      <w:r>
        <w:drawing>
          <wp:inline xmlns:a="http://schemas.openxmlformats.org/drawingml/2006/main" xmlns:pic="http://schemas.openxmlformats.org/drawingml/2006/picture">
            <wp:extent cx="5303520" cy="3750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rre_lista_database(1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0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Screenshot dell'attività svolta.</w:t>
      </w:r>
    </w:p>
    <w:p>
      <w:pPr>
        <w:pStyle w:val="Heading2"/>
      </w:pPr>
      <w:r>
        <w:t>3. Analisi del database DVWA</w:t>
      </w:r>
    </w:p>
    <w:p>
      <w:r>
        <w:t>Enumerazione delle tabelle del database DVWA.</w:t>
      </w:r>
    </w:p>
    <w:p>
      <w:r>
        <w:drawing>
          <wp:inline xmlns:a="http://schemas.openxmlformats.org/drawingml/2006/main" xmlns:pic="http://schemas.openxmlformats.org/drawingml/2006/picture">
            <wp:extent cx="5303520" cy="3276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leDVWAhex(1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Screenshot dell'attività svolta.</w:t>
      </w:r>
    </w:p>
    <w:p>
      <w:pPr>
        <w:pStyle w:val="Heading2"/>
      </w:pPr>
      <w:r>
        <w:t>4. Enumerazione della tabella users</w:t>
      </w:r>
    </w:p>
    <w:p>
      <w:r>
        <w:t>Identificazione delle colonne della tabella users.</w:t>
      </w:r>
    </w:p>
    <w:p>
      <w:r>
        <w:drawing>
          <wp:inline xmlns:a="http://schemas.openxmlformats.org/drawingml/2006/main" xmlns:pic="http://schemas.openxmlformats.org/drawingml/2006/picture">
            <wp:extent cx="5303520" cy="3147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leUsers(1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7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4. Screenshot dell'attività svolta.</w:t>
      </w:r>
    </w:p>
    <w:p>
      <w:pPr>
        <w:pStyle w:val="Heading2"/>
      </w:pPr>
      <w:r>
        <w:t>5. Estrazione degli utenti</w:t>
      </w:r>
    </w:p>
    <w:p>
      <w:r>
        <w:t>Visualizzazione degli utenti e dei relativi hash.</w:t>
      </w:r>
    </w:p>
    <w:p>
      <w:r>
        <w:drawing>
          <wp:inline xmlns:a="http://schemas.openxmlformats.org/drawingml/2006/main" xmlns:pic="http://schemas.openxmlformats.org/drawingml/2006/picture">
            <wp:extent cx="5303520" cy="3224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rreUserPassword(1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5. Screenshot dell'attività svolta.</w:t>
      </w:r>
    </w:p>
    <w:p>
      <w:pPr>
        <w:pStyle w:val="Heading2"/>
      </w:pPr>
      <w:r>
        <w:t>6. Analisi del database OWASP10</w:t>
      </w:r>
    </w:p>
    <w:p>
      <w:r>
        <w:t>Enumerazione delle tabelle del database OWASP10.</w:t>
      </w:r>
    </w:p>
    <w:p>
      <w:r>
        <w:drawing>
          <wp:inline xmlns:a="http://schemas.openxmlformats.org/drawingml/2006/main" xmlns:pic="http://schemas.openxmlformats.org/drawingml/2006/picture">
            <wp:extent cx="5303520" cy="3381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asp10(1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 Screenshot dell'attività svolta.</w:t>
      </w:r>
    </w:p>
    <w:p>
      <w:pPr>
        <w:pStyle w:val="Heading2"/>
      </w:pPr>
      <w:r>
        <w:t>7. Analisi del database TikiWiki</w:t>
      </w:r>
    </w:p>
    <w:p>
      <w:r>
        <w:t>Ricerca delle tabelle del database TikiWiki e individuazione di users_users.</w:t>
      </w:r>
    </w:p>
    <w:p>
      <w:r>
        <w:drawing>
          <wp:inline xmlns:a="http://schemas.openxmlformats.org/drawingml/2006/main" xmlns:pic="http://schemas.openxmlformats.org/drawingml/2006/picture">
            <wp:extent cx="5303520" cy="6351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kiWiki(1)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5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7. Screenshot dell'attività svolta.</w:t>
      </w:r>
    </w:p>
    <w:p>
      <w:pPr>
        <w:pStyle w:val="Heading2"/>
      </w:pPr>
      <w:r>
        <w:t>8. Colonne della tabella users_users</w:t>
      </w:r>
    </w:p>
    <w:p>
      <w:r>
        <w:t>Enumerazione delle colonne della tabella users_users.</w:t>
      </w:r>
    </w:p>
    <w:p>
      <w:r>
        <w:drawing>
          <wp:inline xmlns:a="http://schemas.openxmlformats.org/drawingml/2006/main" xmlns:pic="http://schemas.openxmlformats.org/drawingml/2006/picture">
            <wp:extent cx="5303520" cy="7435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kiWikiColonneUsers(1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3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8. Screenshot dell'attività svolta.</w:t>
      </w:r>
    </w:p>
    <w:p>
      <w:pPr>
        <w:pStyle w:val="Heading2"/>
      </w:pPr>
      <w:r>
        <w:t>9. Tentativo di interrogazione</w:t>
      </w:r>
    </w:p>
    <w:p>
      <w:r>
        <w:t>Tentativo di recupero dei dati dalla tabella users_users.</w:t>
      </w:r>
    </w:p>
    <w:p>
      <w:r>
        <w:drawing>
          <wp:inline xmlns:a="http://schemas.openxmlformats.org/drawingml/2006/main" xmlns:pic="http://schemas.openxmlformats.org/drawingml/2006/picture">
            <wp:extent cx="5303520" cy="18309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iUsers_Users(1)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0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9. Screenshot dell'attività svolta.</w:t>
      </w:r>
    </w:p>
    <w:p>
      <w:pPr>
        <w:pStyle w:val="Heading2"/>
      </w:pPr>
      <w:r>
        <w:t>Conclusioni</w:t>
      </w:r>
    </w:p>
    <w:p>
      <w:r>
        <w:t>L'attività ha consentito di replicare la SQL Injection con livello Medium, analizzare i database presenti sul server e individuare tabelle contenenti informazioni di interesse, raggiungendo gli obiettivi previsti dalla traccia bonus.</w:t>
      </w:r>
    </w:p>
    <w:p>
      <w:pPr>
        <w:pStyle w:val="Heading2"/>
      </w:pPr>
      <w:r>
        <w:t>10. Recupero della password tramite John the Ripper</w:t>
      </w:r>
    </w:p>
    <w:p>
      <w:r>
        <w:t>Dopo aver estratto l'hash MD5 dell'utente target, è stato utilizzato John the Ripper con una wordlist per recuperare la password in chiaro. L'output conferma che la password associata all'hash è 'letmein', completando l'ultima fase dell'esercitazione.</w:t>
      </w:r>
    </w:p>
    <w:p>
      <w:r>
        <w:drawing>
          <wp:inline xmlns:a="http://schemas.openxmlformats.org/drawingml/2006/main" xmlns:pic="http://schemas.openxmlformats.org/drawingml/2006/picture">
            <wp:extent cx="5303520" cy="202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Chiaro(1)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10. Recupero della password in chiaro tramite John the Ripper.</w:t>
      </w:r>
    </w:p>
    <w:p>
      <w:pPr>
        <w:pStyle w:val="Heading2"/>
      </w:pPr>
      <w:r>
        <w:t>Conclusioni aggiornate</w:t>
      </w:r>
    </w:p>
    <w:p>
      <w:r>
        <w:t>L'attività ha consentito di replicare la SQL Injection con livello Medium, analizzare i database presenti sul server e individuare tabelle contenenti informazioni di interesse. Successivamente sono stati estratti gli hash MD5 degli utenti e, mediante John the Ripper, è stata recuperata in chiaro la password dell'utente target ('letmein'), completando con successo tutte le fasi previste dalla traccia bonus.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