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007A" w:rsidRPr="00F43040" w:rsidRDefault="00ED1641">
      <w:pPr>
        <w:jc w:val="center"/>
        <w:rPr>
          <w:lang w:val="it-IT"/>
        </w:rPr>
      </w:pPr>
      <w:r w:rsidRPr="00F43040">
        <w:rPr>
          <w:b/>
          <w:color w:val="D63384"/>
          <w:sz w:val="48"/>
          <w:lang w:val="it-IT"/>
        </w:rPr>
        <w:t>Pratica S9/L2 - Lana Mazibrada</w:t>
      </w:r>
    </w:p>
    <w:p w:rsidR="0058007A" w:rsidRPr="00F43040" w:rsidRDefault="00ED1641">
      <w:pPr>
        <w:jc w:val="center"/>
        <w:rPr>
          <w:lang w:val="it-IT"/>
        </w:rPr>
      </w:pPr>
      <w:r w:rsidRPr="00F43040">
        <w:rPr>
          <w:b/>
          <w:lang w:val="it-IT"/>
        </w:rPr>
        <w:t xml:space="preserve">Analisi statica del file </w:t>
      </w:r>
      <w:r w:rsidRPr="00F43040">
        <w:rPr>
          <w:i/>
          <w:lang w:val="it-IT"/>
        </w:rPr>
        <w:t>notepad-classico.exe</w:t>
      </w:r>
    </w:p>
    <w:p w:rsidR="0058007A" w:rsidRPr="00F43040" w:rsidRDefault="00ED1641">
      <w:pPr>
        <w:rPr>
          <w:lang w:val="it-IT"/>
        </w:rPr>
      </w:pPr>
      <w:r w:rsidRPr="00F43040">
        <w:rPr>
          <w:b/>
          <w:sz w:val="32"/>
          <w:lang w:val="it-IT"/>
        </w:rPr>
        <w:t>Introduzione</w:t>
      </w:r>
    </w:p>
    <w:p w:rsidR="0058007A" w:rsidRPr="00F43040" w:rsidRDefault="00ED1641">
      <w:pPr>
        <w:rPr>
          <w:lang w:val="it-IT"/>
        </w:rPr>
      </w:pPr>
      <w:r w:rsidRPr="00F43040">
        <w:rPr>
          <w:lang w:val="it-IT"/>
        </w:rPr>
        <w:t xml:space="preserve">L'obiettivo della presente esercitazione è svolgere un'analisi statica del file notepad-classico.exe mediante PEStudio, senza eseguire l'eseguibile. La traccia </w:t>
      </w:r>
      <w:r w:rsidRPr="00F43040">
        <w:rPr>
          <w:lang w:val="it-IT"/>
        </w:rPr>
        <w:t>richiede di individuare le librerie importate, descriverne il ruolo, analizzare le sezioni del file Portable Executable (PE) e formulare una breve considerazione finale.</w:t>
      </w:r>
    </w:p>
    <w:p w:rsidR="0058007A" w:rsidRPr="00F43040" w:rsidRDefault="0058007A">
      <w:pPr>
        <w:rPr>
          <w:lang w:val="it-IT"/>
        </w:rPr>
      </w:pPr>
    </w:p>
    <w:p w:rsidR="0058007A" w:rsidRDefault="00ED1641">
      <w:r>
        <w:rPr>
          <w:b/>
          <w:sz w:val="32"/>
        </w:rPr>
        <w:t>Preparazione dell'ambiente di lavoro</w:t>
      </w:r>
    </w:p>
    <w:p w:rsidR="0058007A" w:rsidRDefault="00ED1641">
      <w:r>
        <w:rPr>
          <w:noProof/>
          <w:lang w:val="it-IT" w:eastAsia="it-IT"/>
        </w:rPr>
        <w:drawing>
          <wp:inline distT="0" distB="0" distL="0" distR="0">
            <wp:extent cx="5669280" cy="41921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are+CartellaMalware(2)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92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07A" w:rsidRPr="00F43040" w:rsidRDefault="00ED1641">
      <w:pPr>
        <w:rPr>
          <w:lang w:val="it-IT"/>
        </w:rPr>
      </w:pPr>
      <w:r w:rsidRPr="00F43040">
        <w:rPr>
          <w:lang w:val="it-IT"/>
        </w:rPr>
        <w:t>Figura 1. Avvio della macchina virtuale Flare</w:t>
      </w:r>
      <w:r w:rsidRPr="00F43040">
        <w:rPr>
          <w:lang w:val="it-IT"/>
        </w:rPr>
        <w:t>VM in ambiente isolato.</w:t>
      </w:r>
    </w:p>
    <w:p w:rsidR="0058007A" w:rsidRDefault="00ED1641">
      <w:r>
        <w:rPr>
          <w:noProof/>
          <w:lang w:val="it-IT" w:eastAsia="it-IT"/>
        </w:rPr>
        <w:lastRenderedPageBreak/>
        <w:drawing>
          <wp:inline distT="0" distB="0" distL="0" distR="0">
            <wp:extent cx="5669280" cy="37482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eEsperimento(2)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07A" w:rsidRPr="00F43040" w:rsidRDefault="00ED1641">
      <w:pPr>
        <w:rPr>
          <w:lang w:val="it-IT"/>
        </w:rPr>
      </w:pPr>
      <w:r w:rsidRPr="00F43040">
        <w:rPr>
          <w:lang w:val="it-IT"/>
        </w:rPr>
        <w:t>Figura 2. Individuazione del file notepad-classico.exe nella cartella Malware.</w:t>
      </w:r>
    </w:p>
    <w:p w:rsidR="0058007A" w:rsidRPr="00F43040" w:rsidRDefault="00ED1641">
      <w:pPr>
        <w:rPr>
          <w:lang w:val="it-IT"/>
        </w:rPr>
      </w:pPr>
      <w:r w:rsidRPr="00F43040">
        <w:rPr>
          <w:lang w:val="it-IT"/>
        </w:rPr>
        <w:t>Prima di iniziare l'analisi la macchina virtuale è stata mantenuta isolata dalla rete per ridurre ogni rischio. Il file oggetto dell'esercitazione è st</w:t>
      </w:r>
      <w:r w:rsidRPr="00F43040">
        <w:rPr>
          <w:lang w:val="it-IT"/>
        </w:rPr>
        <w:t>ato individuato nella cartella Malware e successivamente analizzato con PEStudio senza esecuzione del codice.</w:t>
      </w:r>
    </w:p>
    <w:p w:rsidR="0058007A" w:rsidRPr="00F43040" w:rsidRDefault="00ED1641">
      <w:pPr>
        <w:rPr>
          <w:lang w:val="it-IT"/>
        </w:rPr>
      </w:pPr>
      <w:r w:rsidRPr="00F43040">
        <w:rPr>
          <w:lang w:val="it-IT"/>
        </w:rPr>
        <w:br w:type="page"/>
      </w:r>
    </w:p>
    <w:p w:rsidR="0058007A" w:rsidRDefault="00ED1641">
      <w:r>
        <w:rPr>
          <w:b/>
          <w:sz w:val="32"/>
        </w:rPr>
        <w:lastRenderedPageBreak/>
        <w:t>Analisi preliminare con PEStudio</w:t>
      </w:r>
    </w:p>
    <w:p w:rsidR="0058007A" w:rsidRDefault="00ED1641">
      <w:r>
        <w:rPr>
          <w:noProof/>
          <w:lang w:val="it-IT" w:eastAsia="it-IT"/>
        </w:rPr>
        <w:drawing>
          <wp:inline distT="0" distB="0" distL="0" distR="0">
            <wp:extent cx="5669280" cy="336100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Studio(2)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07A" w:rsidRPr="00F43040" w:rsidRDefault="00ED1641">
      <w:pPr>
        <w:rPr>
          <w:lang w:val="it-IT"/>
        </w:rPr>
      </w:pPr>
      <w:r w:rsidRPr="00F43040">
        <w:rPr>
          <w:lang w:val="it-IT"/>
        </w:rPr>
        <w:t>Figura 3. Apertura del file in PEStudio.</w:t>
      </w:r>
    </w:p>
    <w:p w:rsidR="0058007A" w:rsidRPr="00F43040" w:rsidRDefault="00ED1641">
      <w:pPr>
        <w:rPr>
          <w:lang w:val="it-IT"/>
        </w:rPr>
      </w:pPr>
      <w:r w:rsidRPr="00F43040">
        <w:rPr>
          <w:lang w:val="it-IT"/>
        </w:rPr>
        <w:t xml:space="preserve">Il file è stato aperto in modalità di sola lettura. Dalla schermata </w:t>
      </w:r>
      <w:r w:rsidRPr="00F43040">
        <w:rPr>
          <w:lang w:val="it-IT"/>
        </w:rPr>
        <w:t>iniziale si osserva che si tratta di un eseguibile Windows a 32 bit con interfaccia grafica (GUI), identificato come NOTEPAD.EXE.</w:t>
      </w:r>
    </w:p>
    <w:p w:rsidR="0058007A" w:rsidRPr="00F43040" w:rsidRDefault="00ED1641">
      <w:pPr>
        <w:rPr>
          <w:lang w:val="it-IT"/>
        </w:rPr>
      </w:pPr>
      <w:r w:rsidRPr="00F43040">
        <w:rPr>
          <w:lang w:val="it-IT"/>
        </w:rPr>
        <w:br w:type="page"/>
      </w:r>
    </w:p>
    <w:p w:rsidR="0058007A" w:rsidRDefault="00ED1641">
      <w:r>
        <w:rPr>
          <w:b/>
          <w:sz w:val="32"/>
        </w:rPr>
        <w:lastRenderedPageBreak/>
        <w:t>Librerie importate</w:t>
      </w:r>
    </w:p>
    <w:p w:rsidR="0058007A" w:rsidRDefault="00ED1641">
      <w:r>
        <w:rPr>
          <w:noProof/>
          <w:lang w:val="it-IT" w:eastAsia="it-IT"/>
        </w:rPr>
        <w:drawing>
          <wp:inline distT="0" distB="0" distL="0" distR="0">
            <wp:extent cx="5669280" cy="445582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brerie(2)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55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07A" w:rsidRPr="00F43040" w:rsidRDefault="00ED1641">
      <w:pPr>
        <w:rPr>
          <w:lang w:val="it-IT"/>
        </w:rPr>
      </w:pPr>
      <w:r w:rsidRPr="00F43040">
        <w:rPr>
          <w:lang w:val="it-IT"/>
        </w:rPr>
        <w:t>Figura 4. Librerie importate e principali API.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58007A">
        <w:tc>
          <w:tcPr>
            <w:tcW w:w="4968" w:type="dxa"/>
          </w:tcPr>
          <w:p w:rsidR="0058007A" w:rsidRDefault="00ED1641">
            <w:r>
              <w:t>Libreria</w:t>
            </w:r>
          </w:p>
        </w:tc>
        <w:tc>
          <w:tcPr>
            <w:tcW w:w="4968" w:type="dxa"/>
          </w:tcPr>
          <w:p w:rsidR="0058007A" w:rsidRDefault="00ED1641">
            <w:r>
              <w:t>Descrizione</w:t>
            </w:r>
          </w:p>
        </w:tc>
      </w:tr>
      <w:tr w:rsidR="0058007A">
        <w:tc>
          <w:tcPr>
            <w:tcW w:w="4968" w:type="dxa"/>
          </w:tcPr>
          <w:p w:rsidR="0058007A" w:rsidRDefault="00ED1641">
            <w:r>
              <w:t>comdlg32.dll</w:t>
            </w:r>
          </w:p>
        </w:tc>
        <w:tc>
          <w:tcPr>
            <w:tcW w:w="4968" w:type="dxa"/>
          </w:tcPr>
          <w:p w:rsidR="0058007A" w:rsidRDefault="00ED1641">
            <w:r>
              <w:t xml:space="preserve">Finestre di dialogo </w:t>
            </w:r>
            <w:r>
              <w:t>comuni.</w:t>
            </w:r>
          </w:p>
        </w:tc>
      </w:tr>
      <w:tr w:rsidR="0058007A" w:rsidRPr="00F43040">
        <w:tc>
          <w:tcPr>
            <w:tcW w:w="4968" w:type="dxa"/>
          </w:tcPr>
          <w:p w:rsidR="0058007A" w:rsidRDefault="00ED1641">
            <w:r>
              <w:t>shell32.dll</w:t>
            </w:r>
          </w:p>
        </w:tc>
        <w:tc>
          <w:tcPr>
            <w:tcW w:w="4968" w:type="dxa"/>
          </w:tcPr>
          <w:p w:rsidR="0058007A" w:rsidRPr="00F43040" w:rsidRDefault="00ED1641">
            <w:pPr>
              <w:rPr>
                <w:lang w:val="it-IT"/>
              </w:rPr>
            </w:pPr>
            <w:r w:rsidRPr="00F43040">
              <w:rPr>
                <w:lang w:val="it-IT"/>
              </w:rPr>
              <w:t>Funzioni della shell di Windows.</w:t>
            </w:r>
          </w:p>
        </w:tc>
      </w:tr>
      <w:tr w:rsidR="0058007A">
        <w:tc>
          <w:tcPr>
            <w:tcW w:w="4968" w:type="dxa"/>
          </w:tcPr>
          <w:p w:rsidR="0058007A" w:rsidRDefault="00ED1641">
            <w:r>
              <w:t>winspool.drv</w:t>
            </w:r>
          </w:p>
        </w:tc>
        <w:tc>
          <w:tcPr>
            <w:tcW w:w="4968" w:type="dxa"/>
          </w:tcPr>
          <w:p w:rsidR="0058007A" w:rsidRDefault="00ED1641">
            <w:r>
              <w:t>Gestione stampa.</w:t>
            </w:r>
          </w:p>
        </w:tc>
      </w:tr>
      <w:tr w:rsidR="0058007A">
        <w:tc>
          <w:tcPr>
            <w:tcW w:w="4968" w:type="dxa"/>
          </w:tcPr>
          <w:p w:rsidR="0058007A" w:rsidRDefault="00ED1641">
            <w:r>
              <w:t>crypt32.dll</w:t>
            </w:r>
          </w:p>
        </w:tc>
        <w:tc>
          <w:tcPr>
            <w:tcW w:w="4968" w:type="dxa"/>
          </w:tcPr>
          <w:p w:rsidR="0058007A" w:rsidRDefault="00ED1641">
            <w:r>
              <w:t>Crittografia e certificati.</w:t>
            </w:r>
          </w:p>
        </w:tc>
      </w:tr>
      <w:tr w:rsidR="0058007A">
        <w:tc>
          <w:tcPr>
            <w:tcW w:w="4968" w:type="dxa"/>
          </w:tcPr>
          <w:p w:rsidR="0058007A" w:rsidRDefault="00ED1641">
            <w:r>
              <w:t>msvcrt.dll</w:t>
            </w:r>
          </w:p>
        </w:tc>
        <w:tc>
          <w:tcPr>
            <w:tcW w:w="4968" w:type="dxa"/>
          </w:tcPr>
          <w:p w:rsidR="0058007A" w:rsidRDefault="00ED1641">
            <w:r>
              <w:t>Runtime C Microsoft.</w:t>
            </w:r>
          </w:p>
        </w:tc>
      </w:tr>
      <w:tr w:rsidR="0058007A">
        <w:tc>
          <w:tcPr>
            <w:tcW w:w="4968" w:type="dxa"/>
          </w:tcPr>
          <w:p w:rsidR="0058007A" w:rsidRDefault="00ED1641">
            <w:r>
              <w:t>advapi32.dll</w:t>
            </w:r>
          </w:p>
        </w:tc>
        <w:tc>
          <w:tcPr>
            <w:tcW w:w="4968" w:type="dxa"/>
          </w:tcPr>
          <w:p w:rsidR="0058007A" w:rsidRDefault="00ED1641">
            <w:r>
              <w:t>Registro, servizi e sicurezza.</w:t>
            </w:r>
          </w:p>
        </w:tc>
      </w:tr>
      <w:tr w:rsidR="0058007A" w:rsidRPr="00F43040">
        <w:tc>
          <w:tcPr>
            <w:tcW w:w="4968" w:type="dxa"/>
          </w:tcPr>
          <w:p w:rsidR="0058007A" w:rsidRDefault="00ED1641">
            <w:r>
              <w:t>kernel32.dll</w:t>
            </w:r>
          </w:p>
        </w:tc>
        <w:tc>
          <w:tcPr>
            <w:tcW w:w="4968" w:type="dxa"/>
          </w:tcPr>
          <w:p w:rsidR="0058007A" w:rsidRPr="00F43040" w:rsidRDefault="00ED1641">
            <w:pPr>
              <w:rPr>
                <w:lang w:val="it-IT"/>
              </w:rPr>
            </w:pPr>
            <w:r w:rsidRPr="00F43040">
              <w:rPr>
                <w:lang w:val="it-IT"/>
              </w:rPr>
              <w:t>Memoria, file, processi e thread.</w:t>
            </w:r>
          </w:p>
        </w:tc>
      </w:tr>
      <w:tr w:rsidR="0058007A">
        <w:tc>
          <w:tcPr>
            <w:tcW w:w="4968" w:type="dxa"/>
          </w:tcPr>
          <w:p w:rsidR="0058007A" w:rsidRDefault="00ED1641">
            <w:r>
              <w:t>gdi</w:t>
            </w:r>
            <w:r>
              <w:t>32.dll</w:t>
            </w:r>
          </w:p>
        </w:tc>
        <w:tc>
          <w:tcPr>
            <w:tcW w:w="4968" w:type="dxa"/>
          </w:tcPr>
          <w:p w:rsidR="0058007A" w:rsidRDefault="00ED1641">
            <w:r>
              <w:t>Grafica 2D.</w:t>
            </w:r>
          </w:p>
        </w:tc>
      </w:tr>
      <w:tr w:rsidR="0058007A" w:rsidRPr="00F43040">
        <w:tc>
          <w:tcPr>
            <w:tcW w:w="4968" w:type="dxa"/>
          </w:tcPr>
          <w:p w:rsidR="0058007A" w:rsidRDefault="00ED1641">
            <w:r>
              <w:t>user32.dll</w:t>
            </w:r>
          </w:p>
        </w:tc>
        <w:tc>
          <w:tcPr>
            <w:tcW w:w="4968" w:type="dxa"/>
          </w:tcPr>
          <w:p w:rsidR="0058007A" w:rsidRPr="00F43040" w:rsidRDefault="00ED1641">
            <w:pPr>
              <w:rPr>
                <w:lang w:val="it-IT"/>
              </w:rPr>
            </w:pPr>
            <w:r w:rsidRPr="00F43040">
              <w:rPr>
                <w:lang w:val="it-IT"/>
              </w:rPr>
              <w:t>Interfaccia grafica e input utente.</w:t>
            </w:r>
          </w:p>
        </w:tc>
      </w:tr>
    </w:tbl>
    <w:p w:rsidR="0058007A" w:rsidRPr="00F43040" w:rsidRDefault="00ED1641">
      <w:pPr>
        <w:rPr>
          <w:lang w:val="it-IT"/>
        </w:rPr>
      </w:pPr>
      <w:r w:rsidRPr="00F43040">
        <w:rPr>
          <w:lang w:val="it-IT"/>
        </w:rPr>
        <w:t>L'insieme delle librerie importate suggerisce l'utilizzo di numerose API standard di Windows, necessarie alla gestione dell'interfaccia grafica, dei servizi di sistema e delle funzionalità</w:t>
      </w:r>
      <w:r w:rsidRPr="00F43040">
        <w:rPr>
          <w:lang w:val="it-IT"/>
        </w:rPr>
        <w:t xml:space="preserve"> di sicurezza.</w:t>
      </w:r>
    </w:p>
    <w:p w:rsidR="0058007A" w:rsidRPr="00F43040" w:rsidRDefault="00ED1641">
      <w:pPr>
        <w:rPr>
          <w:lang w:val="it-IT"/>
        </w:rPr>
      </w:pPr>
      <w:r w:rsidRPr="00F43040">
        <w:rPr>
          <w:lang w:val="it-IT"/>
        </w:rPr>
        <w:br w:type="page"/>
      </w:r>
    </w:p>
    <w:p w:rsidR="0058007A" w:rsidRDefault="00ED1641">
      <w:r>
        <w:rPr>
          <w:b/>
          <w:sz w:val="32"/>
        </w:rPr>
        <w:lastRenderedPageBreak/>
        <w:t>Sezioni del file</w:t>
      </w:r>
    </w:p>
    <w:p w:rsidR="0058007A" w:rsidRDefault="00ED1641">
      <w:r>
        <w:rPr>
          <w:noProof/>
          <w:lang w:val="it-IT" w:eastAsia="it-IT"/>
        </w:rPr>
        <w:drawing>
          <wp:inline distT="0" distB="0" distL="0" distR="0">
            <wp:extent cx="5669280" cy="209327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ctions(2)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9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07A" w:rsidRPr="00F43040" w:rsidRDefault="00ED1641">
      <w:pPr>
        <w:rPr>
          <w:lang w:val="it-IT"/>
        </w:rPr>
      </w:pPr>
      <w:r w:rsidRPr="00F43040">
        <w:rPr>
          <w:lang w:val="it-IT"/>
        </w:rPr>
        <w:t>Figura 5. Analisi delle sezioni del Portable Executable.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58007A">
        <w:tc>
          <w:tcPr>
            <w:tcW w:w="4968" w:type="dxa"/>
          </w:tcPr>
          <w:p w:rsidR="0058007A" w:rsidRDefault="00ED1641">
            <w:r>
              <w:t>Sezione</w:t>
            </w:r>
          </w:p>
        </w:tc>
        <w:tc>
          <w:tcPr>
            <w:tcW w:w="4968" w:type="dxa"/>
          </w:tcPr>
          <w:p w:rsidR="0058007A" w:rsidRDefault="00ED1641">
            <w:r>
              <w:t>Descrizione</w:t>
            </w:r>
          </w:p>
        </w:tc>
      </w:tr>
      <w:tr w:rsidR="0058007A">
        <w:tc>
          <w:tcPr>
            <w:tcW w:w="4968" w:type="dxa"/>
          </w:tcPr>
          <w:p w:rsidR="0058007A" w:rsidRDefault="00ED1641">
            <w:r>
              <w:t>.text</w:t>
            </w:r>
          </w:p>
        </w:tc>
        <w:tc>
          <w:tcPr>
            <w:tcW w:w="4968" w:type="dxa"/>
          </w:tcPr>
          <w:p w:rsidR="0058007A" w:rsidRDefault="00ED1641">
            <w:r>
              <w:t>Codice eseguibile</w:t>
            </w:r>
          </w:p>
        </w:tc>
      </w:tr>
      <w:tr w:rsidR="0058007A">
        <w:tc>
          <w:tcPr>
            <w:tcW w:w="4968" w:type="dxa"/>
          </w:tcPr>
          <w:p w:rsidR="0058007A" w:rsidRDefault="00ED1641">
            <w:r>
              <w:t>.data</w:t>
            </w:r>
          </w:p>
        </w:tc>
        <w:tc>
          <w:tcPr>
            <w:tcW w:w="4968" w:type="dxa"/>
          </w:tcPr>
          <w:p w:rsidR="0058007A" w:rsidRDefault="00ED1641">
            <w:r>
              <w:t>Dati inizializzati</w:t>
            </w:r>
          </w:p>
        </w:tc>
      </w:tr>
      <w:tr w:rsidR="0058007A">
        <w:tc>
          <w:tcPr>
            <w:tcW w:w="4968" w:type="dxa"/>
          </w:tcPr>
          <w:p w:rsidR="0058007A" w:rsidRDefault="00ED1641">
            <w:r>
              <w:t>.rsrc</w:t>
            </w:r>
          </w:p>
        </w:tc>
        <w:tc>
          <w:tcPr>
            <w:tcW w:w="4968" w:type="dxa"/>
          </w:tcPr>
          <w:p w:rsidR="0058007A" w:rsidRDefault="00ED1641">
            <w:r>
              <w:t>Risorse</w:t>
            </w:r>
          </w:p>
        </w:tc>
      </w:tr>
      <w:tr w:rsidR="0058007A">
        <w:tc>
          <w:tcPr>
            <w:tcW w:w="4968" w:type="dxa"/>
          </w:tcPr>
          <w:p w:rsidR="0058007A" w:rsidRDefault="00ED1641">
            <w:r>
              <w:t>.reloc</w:t>
            </w:r>
          </w:p>
        </w:tc>
        <w:tc>
          <w:tcPr>
            <w:tcW w:w="4968" w:type="dxa"/>
          </w:tcPr>
          <w:p w:rsidR="0058007A" w:rsidRDefault="00ED1641">
            <w:r>
              <w:t>Rilocazione</w:t>
            </w:r>
          </w:p>
        </w:tc>
      </w:tr>
      <w:tr w:rsidR="0058007A">
        <w:tc>
          <w:tcPr>
            <w:tcW w:w="4968" w:type="dxa"/>
          </w:tcPr>
          <w:p w:rsidR="0058007A" w:rsidRDefault="00ED1641">
            <w:r>
              <w:t>.edata</w:t>
            </w:r>
          </w:p>
        </w:tc>
        <w:tc>
          <w:tcPr>
            <w:tcW w:w="4968" w:type="dxa"/>
          </w:tcPr>
          <w:p w:rsidR="0058007A" w:rsidRDefault="00ED1641">
            <w:r>
              <w:t>Funzioni esportate</w:t>
            </w:r>
          </w:p>
        </w:tc>
      </w:tr>
      <w:tr w:rsidR="0058007A">
        <w:tc>
          <w:tcPr>
            <w:tcW w:w="4968" w:type="dxa"/>
          </w:tcPr>
          <w:p w:rsidR="0058007A" w:rsidRDefault="00ED1641">
            <w:r>
              <w:t>.gfids</w:t>
            </w:r>
          </w:p>
        </w:tc>
        <w:tc>
          <w:tcPr>
            <w:tcW w:w="4968" w:type="dxa"/>
          </w:tcPr>
          <w:p w:rsidR="0058007A" w:rsidRDefault="00ED1641">
            <w:r>
              <w:t>Control Flow Guard</w:t>
            </w:r>
          </w:p>
        </w:tc>
      </w:tr>
    </w:tbl>
    <w:p w:rsidR="0058007A" w:rsidRPr="00F43040" w:rsidRDefault="00ED1641">
      <w:pPr>
        <w:rPr>
          <w:lang w:val="it-IT"/>
        </w:rPr>
      </w:pPr>
      <w:r w:rsidRPr="00F43040">
        <w:rPr>
          <w:lang w:val="it-IT"/>
        </w:rPr>
        <w:t>L'analisi delle sezioni mostra una struttura conforme al formato Portable Executable (PE).</w:t>
      </w:r>
    </w:p>
    <w:p w:rsidR="0058007A" w:rsidRPr="00F43040" w:rsidRDefault="00ED1641">
      <w:pPr>
        <w:rPr>
          <w:lang w:val="it-IT"/>
        </w:rPr>
      </w:pPr>
      <w:r w:rsidRPr="00F43040">
        <w:rPr>
          <w:lang w:val="it-IT"/>
        </w:rPr>
        <w:br w:type="page"/>
      </w:r>
    </w:p>
    <w:p w:rsidR="0058007A" w:rsidRPr="00F43040" w:rsidRDefault="00ED1641">
      <w:pPr>
        <w:rPr>
          <w:lang w:val="it-IT"/>
        </w:rPr>
      </w:pPr>
      <w:r w:rsidRPr="00F43040">
        <w:rPr>
          <w:b/>
          <w:sz w:val="32"/>
          <w:lang w:val="it-IT"/>
        </w:rPr>
        <w:lastRenderedPageBreak/>
        <w:t>Considerazioni finali</w:t>
      </w:r>
    </w:p>
    <w:p w:rsidR="0058007A" w:rsidRPr="00F43040" w:rsidRDefault="00ED1641" w:rsidP="00F43040">
      <w:pPr>
        <w:rPr>
          <w:lang w:val="it-IT"/>
        </w:rPr>
      </w:pPr>
      <w:r w:rsidRPr="00F43040">
        <w:rPr>
          <w:lang w:val="it-IT"/>
        </w:rPr>
        <w:t>L'analisi statica del file notepad-classico.exe ha permesso di esaminare la struttura del file senza eseguirlo, riducendo completamente il ri</w:t>
      </w:r>
      <w:r w:rsidRPr="00F43040">
        <w:rPr>
          <w:lang w:val="it-IT"/>
        </w:rPr>
        <w:t xml:space="preserve">schio di compromettere il sistema. L'eseguibile utilizza diverse librerie standard di Windows, impiegate per la gestione dell'interfaccia grafica, delle operazioni sui file, </w:t>
      </w:r>
      <w:r w:rsidR="00F43040">
        <w:rPr>
          <w:lang w:val="it-IT"/>
        </w:rPr>
        <w:t>d</w:t>
      </w:r>
      <w:r w:rsidRPr="00F43040">
        <w:rPr>
          <w:lang w:val="it-IT"/>
        </w:rPr>
        <w:t>ella memoria, della sicurezza e della grafica.</w:t>
      </w:r>
      <w:r w:rsidRPr="00F43040">
        <w:rPr>
          <w:lang w:val="it-IT"/>
        </w:rPr>
        <w:br/>
      </w:r>
      <w:r w:rsidRPr="00F43040">
        <w:rPr>
          <w:lang w:val="it-IT"/>
        </w:rPr>
        <w:br/>
        <w:t>Le sezioni individuate (.text, .d</w:t>
      </w:r>
      <w:r w:rsidRPr="00F43040">
        <w:rPr>
          <w:lang w:val="it-IT"/>
        </w:rPr>
        <w:t>ata, .rsrc, .reloc, .edata e .gfids) sono coerenti con la struttura tipica di un file Portable Executable (PE). La presenza della sezione .gfids indica inoltre che il file è stato compilato con un compilatore Microsoft che supporta il meccanismo di sicurez</w:t>
      </w:r>
      <w:r w:rsidRPr="00F43040">
        <w:rPr>
          <w:lang w:val="it-IT"/>
        </w:rPr>
        <w:t>za Control Flow Guard (CFG).</w:t>
      </w:r>
      <w:r w:rsidRPr="00F43040">
        <w:rPr>
          <w:lang w:val="it-IT"/>
        </w:rPr>
        <w:br/>
      </w:r>
      <w:r w:rsidRPr="00F43040">
        <w:rPr>
          <w:lang w:val="it-IT"/>
        </w:rPr>
        <w:br/>
        <w:t>Dall'analisi effettuata non sono emerse evidenze di sezioni auto-modificanti, caratteristica frequentemente utilizzata da malware particolarmente sofisticati per ostacolare l'analisi.</w:t>
      </w:r>
      <w:r w:rsidRPr="00F43040">
        <w:rPr>
          <w:lang w:val="it-IT"/>
        </w:rPr>
        <w:br/>
      </w:r>
      <w:r w:rsidRPr="00F43040">
        <w:rPr>
          <w:lang w:val="it-IT"/>
        </w:rPr>
        <w:br/>
        <w:t>Nel complesso, questa esercitazione ha mo</w:t>
      </w:r>
      <w:r w:rsidRPr="00F43040">
        <w:rPr>
          <w:lang w:val="it-IT"/>
        </w:rPr>
        <w:t xml:space="preserve">strato come sia possibile ricavare numerose informazioni sul funzionamento di un </w:t>
      </w:r>
      <w:bookmarkStart w:id="0" w:name="_GoBack"/>
      <w:bookmarkEnd w:id="0"/>
      <w:r w:rsidRPr="00F43040">
        <w:rPr>
          <w:lang w:val="it-IT"/>
        </w:rPr>
        <w:t>eseguibile semplicemente analizzandone la struttura, senza la necessità di eseguirlo.</w:t>
      </w:r>
    </w:p>
    <w:sectPr w:rsidR="0058007A" w:rsidRPr="00F43040" w:rsidSect="00034616">
      <w:headerReference w:type="default" r:id="rId13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1641" w:rsidRDefault="00ED1641" w:rsidP="00F43040">
      <w:pPr>
        <w:spacing w:after="0" w:line="240" w:lineRule="auto"/>
      </w:pPr>
      <w:r>
        <w:separator/>
      </w:r>
    </w:p>
  </w:endnote>
  <w:endnote w:type="continuationSeparator" w:id="0">
    <w:p w:rsidR="00ED1641" w:rsidRDefault="00ED1641" w:rsidP="00F430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1641" w:rsidRDefault="00ED1641" w:rsidP="00F43040">
      <w:pPr>
        <w:spacing w:after="0" w:line="240" w:lineRule="auto"/>
      </w:pPr>
      <w:r>
        <w:separator/>
      </w:r>
    </w:p>
  </w:footnote>
  <w:footnote w:type="continuationSeparator" w:id="0">
    <w:p w:rsidR="00ED1641" w:rsidRDefault="00ED1641" w:rsidP="00F430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77960378"/>
      <w:docPartObj>
        <w:docPartGallery w:val="Page Numbers (Margins)"/>
        <w:docPartUnique/>
      </w:docPartObj>
    </w:sdtPr>
    <w:sdtContent>
      <w:p w:rsidR="00F43040" w:rsidRDefault="00F43040">
        <w:pPr>
          <w:pStyle w:val="Intestazione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  <w:lang w:val="it-IT" w:eastAsia="it-IT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25000</wp14:pctPosVOffset>
                      </wp:positionV>
                    </mc:Choice>
                    <mc:Fallback>
                      <wp:positionV relativeFrom="page">
                        <wp:posOffset>2514600</wp:posOffset>
                      </wp:positionV>
                    </mc:Fallback>
                  </mc:AlternateContent>
                  <wp:extent cx="477520" cy="477520"/>
                  <wp:effectExtent l="9525" t="9525" r="8255" b="8255"/>
                  <wp:wrapNone/>
                  <wp:docPr id="6" name="Oval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77520" cy="477520"/>
                          </a:xfrm>
                          <a:prstGeom prst="ellipse">
                            <a:avLst/>
                          </a:prstGeom>
                          <a:solidFill>
                            <a:srgbClr val="9DBB6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43040" w:rsidRDefault="00F43040">
                              <w:pPr>
                                <w:rPr>
                                  <w:rStyle w:val="Numeropagina"/>
                                  <w:color w:val="FFFFFF" w:themeColor="background1"/>
                                  <w:szCs w:val="24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Pr="00F43040">
                                <w:rPr>
                                  <w:rStyle w:val="Numeropagina"/>
                                  <w:noProof/>
                                  <w:color w:val="FFFFFF" w:themeColor="background1"/>
                                  <w:sz w:val="24"/>
                                  <w:szCs w:val="24"/>
                                  <w:lang w:val="it-IT"/>
                                </w:rPr>
                                <w:t>2</w:t>
                              </w:r>
                              <w:r>
                                <w:rPr>
                                  <w:rStyle w:val="Numeropagina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id="Ovale 6" o:spid="_x0000_s1026" style="position:absolute;margin-left:0;margin-top:0;width:37.6pt;height:37.6pt;z-index:251659264;visibility:visible;mso-wrap-style:square;mso-width-percent:0;mso-height-percent:0;mso-top-percent:250;mso-wrap-distance-left:9pt;mso-wrap-distance-top:0;mso-wrap-distance-right:9pt;mso-wrap-distance-bottom:0;mso-position-horizontal:center;mso-position-horizontal-relative:right-margin-area;mso-position-vertical-relative:page;mso-width-percent:0;mso-height-percent:0;mso-top-percent:2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" o:allowincell="f" fillcolor="#9dbb61" stroked="f">
                  <v:textbox inset="0,,0">
                    <w:txbxContent>
                      <w:p w:rsidR="00F43040" w:rsidRDefault="00F43040">
                        <w:pPr>
                          <w:rPr>
                            <w:rStyle w:val="Numeropagina"/>
                            <w:color w:val="FFFFFF" w:themeColor="background1"/>
                            <w:szCs w:val="24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Pr="00F43040">
                          <w:rPr>
                            <w:rStyle w:val="Numeropagina"/>
                            <w:noProof/>
                            <w:color w:val="FFFFFF" w:themeColor="background1"/>
                            <w:sz w:val="24"/>
                            <w:szCs w:val="24"/>
                            <w:lang w:val="it-IT"/>
                          </w:rPr>
                          <w:t>2</w:t>
                        </w:r>
                        <w:r>
                          <w:rPr>
                            <w:rStyle w:val="Numeropagina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oval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007A"/>
    <w:rsid w:val="00AA1D8D"/>
    <w:rsid w:val="00B47730"/>
    <w:rsid w:val="00CB0664"/>
    <w:rsid w:val="00ED1641"/>
    <w:rsid w:val="00F430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208872D"/>
  <w14:defaultImageDpi w14:val="300"/>
  <w15:docId w15:val="{60B9E336-EEE0-4E1A-B0E6-09BD1A75B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Numeropagina">
    <w:name w:val="page number"/>
    <w:basedOn w:val="Carpredefinitoparagrafo"/>
    <w:uiPriority w:val="99"/>
    <w:unhideWhenUsed/>
    <w:rsid w:val="00F430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240624D-1D29-410E-AB8F-9FFD9B4532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481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emanuele</cp:lastModifiedBy>
  <cp:revision>2</cp:revision>
  <dcterms:created xsi:type="dcterms:W3CDTF">2013-12-23T23:15:00Z</dcterms:created>
  <dcterms:modified xsi:type="dcterms:W3CDTF">2026-08-04T18:13:00Z</dcterms:modified>
  <cp:category/>
</cp:coreProperties>
</file>