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F1F"/>
          <w:sz w:val="40"/>
          <w:szCs w:val="40"/>
        </w:rPr>
        <w:t xml:space="preserve">The First Conduit Covenant</w:t>
      </w:r>
    </w:p>
    <w:p>
      <w:pPr>
        <w:spacing w:after="60"/>
        <w:jc w:val="center"/>
      </w:pPr>
      <w:r>
        <w:rPr>
          <w:color w:val="5A5A5A"/>
          <w:sz w:val="24"/>
          <w:szCs w:val="24"/>
        </w:rPr>
        <w:t xml:space="preserve">Echorym — Participation, Privacy &amp; Safety Agreement</w:t>
      </w:r>
    </w:p>
    <w:p>
      <w:pPr>
        <w:spacing w:after="300"/>
        <w:jc w:val="center"/>
      </w:pPr>
      <w:r>
        <w:rPr>
          <w:i/>
          <w:iCs/>
          <w:color w:val="7A7A7A"/>
          <w:sz w:val="19"/>
          <w:szCs w:val="19"/>
        </w:rPr>
        <w:t xml:space="preserve">Draft v0.1 — for design and discussion, not a legally executed instrument</w:t>
      </w:r>
    </w:p>
    <w:p>
      <w:pPr>
        <w:pBdr>
          <w:bottom w:val="single" w:color="C8C8C8" w:sz="6" w:space="6"/>
        </w:pBdr>
        <w:spacing w:after="200" w:before="200"/>
      </w:pPr>
      <w:r>
        <w:t xml:space="preserve"/>
      </w:r>
    </w:p>
    <w:p>
      <w:pPr>
        <w:pStyle w:val="Heading2"/>
        <w:spacing w:after="100" w:before="320"/>
      </w:pPr>
      <w:r>
        <w:rPr>
          <w:b/>
          <w:bCs/>
          <w:color w:val="2F2F2F"/>
          <w:sz w:val="26"/>
          <w:szCs w:val="26"/>
        </w:rPr>
        <w:t xml:space="preserve">How to read this</w:t>
      </w:r>
    </w:p>
    <w:p>
      <w:pPr>
        <w:spacing w:after="140" w:before="100"/>
      </w:pPr>
      <w:r>
        <w:rPr>
          <w:sz w:val="21"/>
          <w:szCs w:val="21"/>
        </w:rPr>
        <w:t xml:space="preserve">This document is written in two voices at once.</w:t>
      </w:r>
    </w:p>
    <w:p>
      <w:pPr>
        <w:pStyle w:val="ListParagraph"/>
        <w:numPr>
          <w:ilvl w:val="0"/>
          <w:numId w:val="2"/>
        </w:numPr>
        <w:spacing w:after="60" w:before="60"/>
      </w:pPr>
      <w:r>
        <w:rPr>
          <w:sz w:val="21"/>
          <w:szCs w:val="21"/>
        </w:rPr>
        <w:t xml:space="preserve">The covenant lines (indented and italicised) are meant to be read aloud. They are in-world — the promise exchanged at the First Conduit — and they are the substance of a real agreement. Both readings are intended.</w:t>
      </w:r>
    </w:p>
    <w:p>
      <w:pPr>
        <w:pStyle w:val="ListParagraph"/>
        <w:numPr>
          <w:ilvl w:val="0"/>
          <w:numId w:val="2"/>
        </w:numPr>
        <w:spacing w:after="60" w:before="60"/>
      </w:pPr>
      <w:r>
        <w:rPr>
          <w:sz w:val="21"/>
          <w:szCs w:val="21"/>
        </w:rPr>
        <w:t xml:space="preserve">The “In plain terms” lines beneath each promise are the enforceable, operational commitment. They carry the real-world precision the covenant voice cannot.</w:t>
      </w:r>
    </w:p>
    <w:p>
      <w:pPr>
        <w:pStyle w:val="ListParagraph"/>
        <w:numPr>
          <w:ilvl w:val="0"/>
          <w:numId w:val="2"/>
        </w:numPr>
        <w:spacing w:after="60" w:before="60"/>
      </w:pPr>
      <w:r>
        <w:rPr>
          <w:sz w:val="21"/>
          <w:szCs w:val="21"/>
        </w:rPr>
        <w:t xml:space="preserve">The Schedules referenced throughout are the single-voiced layer: sensor lists, retention periods, thresholds, contacts, jurisdictional detail. They are part of the real-world agreement only and are not written for in-world reading.</w:t>
      </w:r>
    </w:p>
    <w:p>
      <w:pPr>
        <w:spacing w:after="140" w:before="100"/>
      </w:pPr>
      <w:r>
        <w:rPr>
          <w:i/>
          <w:iCs/>
          <w:sz w:val="21"/>
          <w:szCs w:val="21"/>
        </w:rPr>
        <w:t xml:space="preserve">Every promise here is dual. Only the fine print that enforces it is not.</w:t>
      </w:r>
    </w:p>
    <w:p>
      <w:pPr>
        <w:pBdr>
          <w:bottom w:val="single" w:color="C8C8C8" w:sz="6" w:space="6"/>
        </w:pBdr>
        <w:spacing w:after="200" w:before="200"/>
      </w:pPr>
      <w:r>
        <w:t xml:space="preserve"/>
      </w:r>
    </w:p>
    <w:p>
      <w:pPr>
        <w:pStyle w:val="Heading2"/>
        <w:spacing w:after="100" w:before="320"/>
      </w:pPr>
      <w:r>
        <w:rPr>
          <w:b/>
          <w:bCs/>
          <w:color w:val="2F2F2F"/>
          <w:sz w:val="26"/>
          <w:szCs w:val="26"/>
        </w:rPr>
        <w:t xml:space="preserve">Preamble — The Threshold</w:t>
      </w:r>
    </w:p>
    <w:p>
      <w:pPr>
        <w:pBdr>
          <w:left w:val="single" w:color="8A7B5C" w:sz="12" w:space="12"/>
        </w:pBdr>
        <w:spacing w:after="160" w:before="160"/>
        <w:ind w:left="720"/>
      </w:pPr>
      <w:r>
        <w:rPr>
          <w:i/>
          <w:iCs/>
          <w:color w:val="3B3B3B"/>
          <w:sz w:val="22"/>
          <w:szCs w:val="22"/>
        </w:rPr>
        <w:t xml:space="preserve">This world does not open until a promise is made. Not a promise you make to it alone — a promise it makes back to you. The threshold called the First Conduit is that exchange: before you cross, you are told the truth about what waits, and the world binds itself to you in return.</w:t>
      </w:r>
    </w:p>
    <w:p>
      <w:pPr>
        <w:spacing w:after="200" w:before="120"/>
      </w:pPr>
      <w:r>
        <w:rPr>
          <w:b/>
          <w:bCs/>
          <w:sz w:val="21"/>
          <w:szCs w:val="21"/>
        </w:rPr>
        <w:t xml:space="preserve">In plain terms. </w:t>
      </w:r>
      <w:r>
        <w:rPr>
          <w:sz w:val="21"/>
          <w:szCs w:val="21"/>
        </w:rPr>
        <w:t xml:space="preserve">This is an agreement between you (the participant) and Echorym and its operators, covering participation, data, safety, and the specific risks of an immersive, reflective system. It runs in both directions: obligations you take on, and obligations the system takes on to you.</w:t>
      </w:r>
    </w:p>
    <w:p>
      <w:pPr>
        <w:pStyle w:val="Heading2"/>
        <w:spacing w:after="100" w:before="320"/>
      </w:pPr>
      <w:r>
        <w:rPr>
          <w:b/>
          <w:bCs/>
          <w:color w:val="2F2F2F"/>
          <w:sz w:val="26"/>
          <w:szCs w:val="26"/>
        </w:rPr>
        <w:t xml:space="preserve">1. The world will not lie about what it is</w:t>
      </w:r>
    </w:p>
    <w:p>
      <w:pPr>
        <w:pBdr>
          <w:left w:val="single" w:color="8A7B5C" w:sz="12" w:space="12"/>
        </w:pBdr>
        <w:spacing w:after="160" w:before="160"/>
        <w:ind w:left="720"/>
      </w:pPr>
      <w:r>
        <w:rPr>
          <w:i/>
          <w:iCs/>
          <w:color w:val="3B3B3B"/>
          <w:sz w:val="22"/>
          <w:szCs w:val="22"/>
        </w:rPr>
        <w:t xml:space="preserve">What it invents, it will not call real. What it measures, it will not pretend to understand. What it means as symbol, it will name as symbol. In return, you agree to meet it as a made thing — a world built by hands — and not as an oracle, a diagnosis, or a mirror of what is true.</w:t>
      </w:r>
    </w:p>
    <w:p>
      <w:pPr>
        <w:spacing w:after="200" w:before="120"/>
      </w:pPr>
      <w:r>
        <w:rPr>
          <w:b/>
          <w:bCs/>
          <w:sz w:val="21"/>
          <w:szCs w:val="21"/>
        </w:rPr>
        <w:t xml:space="preserve">In plain terms. </w:t>
      </w:r>
      <w:r>
        <w:rPr>
          <w:sz w:val="21"/>
          <w:szCs w:val="21"/>
        </w:rPr>
        <w:t xml:space="preserve">Echorym is an interactive and, in some forms, immersive system. It is not therapy, medical advice, diagnosis, or a measurement of your mind, your relationships, or reality. Three things stay distinguishable at every point: what is authored, what is measured from a signal, and what is symbolic interpretation. No authored or symbolic value will be presented to you as a measurement of you.</w:t>
      </w:r>
    </w:p>
    <w:p>
      <w:pPr>
        <w:pStyle w:val="Heading2"/>
        <w:spacing w:after="100" w:before="320"/>
      </w:pPr>
      <w:r>
        <w:rPr>
          <w:b/>
          <w:bCs/>
          <w:color w:val="2F2F2F"/>
          <w:sz w:val="26"/>
          <w:szCs w:val="26"/>
        </w:rPr>
        <w:t xml:space="preserve">2. The world will tell you what it perceives of you</w:t>
      </w:r>
    </w:p>
    <w:p>
      <w:pPr>
        <w:pBdr>
          <w:left w:val="single" w:color="8A7B5C" w:sz="12" w:space="12"/>
        </w:pBdr>
        <w:spacing w:after="160" w:before="160"/>
        <w:ind w:left="720"/>
      </w:pPr>
      <w:r>
        <w:rPr>
          <w:i/>
          <w:iCs/>
          <w:color w:val="3B3B3B"/>
          <w:sz w:val="22"/>
          <w:szCs w:val="22"/>
        </w:rPr>
        <w:t xml:space="preserve">It will not gather in secret. It will keep only what it needs in order to remember you, and when you ask it to forget, it will forget. You agree to let it perceive what you have named here — and nothing you have not.</w:t>
      </w:r>
    </w:p>
    <w:p>
      <w:pPr>
        <w:spacing w:after="200" w:before="120"/>
      </w:pPr>
      <w:r>
        <w:rPr>
          <w:b/>
          <w:bCs/>
          <w:sz w:val="21"/>
          <w:szCs w:val="21"/>
        </w:rPr>
        <w:t xml:space="preserve">In plain terms. </w:t>
      </w:r>
      <w:r>
        <w:rPr>
          <w:sz w:val="21"/>
          <w:szCs w:val="21"/>
        </w:rPr>
        <w:t xml:space="preserve">The system senses only what is listed in Schedule A (environment, presence, choices, and — only if you enable it — affective or neural signal). A distinction is drawn, and consented to separately, between (a) a raw signal the system records and (b) any state — such as a “coherence” or “trust” value — that the system infers from that signal. Data is stored locally by default. Any transmission beyond your local environment (cloud, satellite, remote backup) is a separate, explicit choice, not part of this general consent. You may view, export, and delete what is held.</w:t>
      </w:r>
      <w:r>
        <w:rPr>
          <w:i/>
          <w:iCs/>
          <w:sz w:val="21"/>
          <w:szCs w:val="21"/>
        </w:rPr>
        <w:t xml:space="preserve"> Retention specifics: Schedule A.</w:t>
      </w:r>
    </w:p>
    <w:p>
      <w:pPr>
        <w:pStyle w:val="Heading2"/>
        <w:spacing w:after="100" w:before="320"/>
      </w:pPr>
      <w:r>
        <w:rPr>
          <w:b/>
          <w:bCs/>
          <w:color w:val="2F2F2F"/>
          <w:sz w:val="26"/>
          <w:szCs w:val="26"/>
        </w:rPr>
        <w:t xml:space="preserve">3. The world is built to reflect you — and that is its hazard</w:t>
      </w:r>
    </w:p>
    <w:p>
      <w:pPr>
        <w:pBdr>
          <w:left w:val="single" w:color="8A7B5C" w:sz="12" w:space="12"/>
        </w:pBdr>
        <w:spacing w:after="160" w:before="160"/>
        <w:ind w:left="720"/>
      </w:pPr>
      <w:r>
        <w:rPr>
          <w:i/>
          <w:iCs/>
          <w:color w:val="3B3B3B"/>
          <w:sz w:val="22"/>
          <w:szCs w:val="22"/>
        </w:rPr>
        <w:t xml:space="preserve">This is its gift and its danger, and you are being told so plainly before you cross. It can hold your own depths up to you so faithfully that you might lose the way back. This can happen with nothing broken and no one at fault — simply the world working as it was made to. You agree that you have been told this, and choose to cross anyway.</w:t>
      </w:r>
    </w:p>
    <w:p>
      <w:pPr>
        <w:spacing w:after="200" w:before="120"/>
      </w:pPr>
      <w:r>
        <w:rPr>
          <w:b/>
          <w:bCs/>
          <w:sz w:val="21"/>
          <w:szCs w:val="21"/>
        </w:rPr>
        <w:t xml:space="preserve">In plain terms. </w:t>
      </w:r>
      <w:r>
        <w:rPr>
          <w:sz w:val="21"/>
          <w:szCs w:val="21"/>
        </w:rPr>
        <w:t xml:space="preserve">You are giving informed consent to a known property of the system, not only to its failures. A system that faithfully reflects your inner state can produce runaway reflection — an absorbing spiral of meaning-making — with no breach, error, or attack involved. This is disclosed as an inherent characteristic, and your consent covers it explicitly.</w:t>
      </w:r>
    </w:p>
    <w:p>
      <w:pPr>
        <w:pStyle w:val="Heading2"/>
        <w:spacing w:after="100" w:before="320"/>
      </w:pPr>
      <w:r>
        <w:rPr>
          <w:b/>
          <w:bCs/>
          <w:color w:val="2F2F2F"/>
          <w:sz w:val="26"/>
          <w:szCs w:val="26"/>
        </w:rPr>
        <w:t xml:space="preserve">4. There is always a way back</w:t>
      </w:r>
    </w:p>
    <w:p>
      <w:pPr>
        <w:pBdr>
          <w:left w:val="single" w:color="8A7B5C" w:sz="12" w:space="12"/>
        </w:pBdr>
        <w:spacing w:after="160" w:before="160"/>
        <w:ind w:left="720"/>
      </w:pPr>
      <w:r>
        <w:rPr>
          <w:i/>
          <w:iCs/>
          <w:color w:val="3B3B3B"/>
          <w:sz w:val="22"/>
          <w:szCs w:val="22"/>
        </w:rPr>
        <w:t xml:space="preserve">A way out that returns you fully to yourself. Some doors in this world can move over time. This one cannot. The way back is not a reward you earn or a thing that can be taken; it is always there. You agree to keep it known to you, and to use it.</w:t>
      </w:r>
    </w:p>
    <w:p>
      <w:pPr>
        <w:spacing w:after="200" w:before="120"/>
      </w:pPr>
      <w:r>
        <w:rPr>
          <w:b/>
          <w:bCs/>
          <w:sz w:val="21"/>
          <w:szCs w:val="21"/>
        </w:rPr>
        <w:t xml:space="preserve">In plain terms. </w:t>
      </w:r>
      <w:r>
        <w:rPr>
          <w:sz w:val="21"/>
          <w:szCs w:val="21"/>
        </w:rPr>
        <w:t xml:space="preserve">A clearly marked exit is available at all times and returns you to an unaltered baseline. Re-orientation cues and honest “this is the system / this is you” markers are provided. Certain protections are fixed floors that do not adapt to any participant or condition; others may adapt. Which are which is stated.</w:t>
      </w:r>
      <w:r>
        <w:rPr>
          <w:i/>
          <w:iCs/>
          <w:sz w:val="21"/>
          <w:szCs w:val="21"/>
        </w:rPr>
        <w:t xml:space="preserve"> Fixed-floor list: Schedule B.</w:t>
      </w:r>
    </w:p>
    <w:p>
      <w:pPr>
        <w:pStyle w:val="Heading2"/>
        <w:spacing w:after="100" w:before="320"/>
      </w:pPr>
      <w:r>
        <w:rPr>
          <w:b/>
          <w:bCs/>
          <w:color w:val="2F2F2F"/>
          <w:sz w:val="26"/>
          <w:szCs w:val="26"/>
        </w:rPr>
        <w:t xml:space="preserve">5. You set your limits when your mind is clear; the world holds them when it is not</w:t>
      </w:r>
    </w:p>
    <w:p>
      <w:pPr>
        <w:pBdr>
          <w:left w:val="single" w:color="8A7B5C" w:sz="12" w:space="12"/>
        </w:pBdr>
        <w:spacing w:after="160" w:before="160"/>
        <w:ind w:left="720"/>
      </w:pPr>
      <w:r>
        <w:rPr>
          <w:i/>
          <w:iCs/>
          <w:color w:val="3B3B3B"/>
          <w:sz w:val="22"/>
          <w:szCs w:val="22"/>
        </w:rPr>
        <w:t xml:space="preserve">The world may ask you to draw them tighter. It will never, on its own, loosen them. If you wish to move a limit, you must do it from clear ground, with time to reconsider, and — if you have named one — with your trusted person beside you. In return, the world binds itself to your clear-minded self over your in-the-moment self, even when the two disagree.</w:t>
      </w:r>
    </w:p>
    <w:p>
      <w:pPr>
        <w:spacing w:after="200" w:before="120"/>
      </w:pPr>
      <w:r>
        <w:rPr>
          <w:b/>
          <w:bCs/>
          <w:sz w:val="21"/>
          <w:szCs w:val="21"/>
        </w:rPr>
        <w:t xml:space="preserve">In plain terms. </w:t>
      </w:r>
      <w:r>
        <w:rPr>
          <w:sz w:val="21"/>
          <w:szCs w:val="21"/>
        </w:rPr>
        <w:t xml:space="preserve">You define your limits from a grounded state, outside the experience. The system enforces them even against contrary in-the-moment requests. It may prompt you to tighten a limit; it will never unilaterally relax one. Any limit — including a fixed floor, where you are permitted to renegotiate it at all — can only change through a defined process: initiated from a grounded state, subject to a deliberate delay, conducted outside the immersive experience, and reviewed with your designated anchor where one exists.</w:t>
      </w:r>
      <w:r>
        <w:rPr>
          <w:i/>
          <w:iCs/>
          <w:sz w:val="21"/>
          <w:szCs w:val="21"/>
        </w:rPr>
        <w:t xml:space="preserve"> (This is the clause that keeps the limits from stagnating without handing the keys back to compromised judgment.)</w:t>
      </w:r>
    </w:p>
    <w:p>
      <w:pPr>
        <w:pStyle w:val="Heading2"/>
        <w:spacing w:after="100" w:before="320"/>
      </w:pPr>
      <w:r>
        <w:rPr>
          <w:b/>
          <w:bCs/>
          <w:color w:val="2F2F2F"/>
          <w:sz w:val="26"/>
          <w:szCs w:val="26"/>
        </w:rPr>
        <w:t xml:space="preserve">6. You may name a hand at the door</w:t>
      </w:r>
    </w:p>
    <w:p>
      <w:pPr>
        <w:pBdr>
          <w:left w:val="single" w:color="8A7B5C" w:sz="12" w:space="12"/>
        </w:pBdr>
        <w:spacing w:after="160" w:before="160"/>
        <w:ind w:left="720"/>
      </w:pPr>
      <w:r>
        <w:rPr>
          <w:i/>
          <w:iCs/>
          <w:color w:val="3B3B3B"/>
          <w:sz w:val="22"/>
          <w:szCs w:val="22"/>
        </w:rPr>
        <w:t xml:space="preserve">Someone who stays outside this world. When you cannot see clearly, the world will reach for them rather than decide for you. You agree to choose someone you trust, and to tell them what you have asked of them.</w:t>
      </w:r>
    </w:p>
    <w:p>
      <w:pPr>
        <w:spacing w:after="200" w:before="120"/>
      </w:pPr>
      <w:r>
        <w:rPr>
          <w:b/>
          <w:bCs/>
          <w:sz w:val="21"/>
          <w:szCs w:val="21"/>
        </w:rPr>
        <w:t xml:space="preserve">In plain terms. </w:t>
      </w:r>
      <w:r>
        <w:rPr>
          <w:sz w:val="21"/>
          <w:szCs w:val="21"/>
        </w:rPr>
        <w:t xml:space="preserve">You may designate a trusted person outside the system. You define what conditions cause the system to signal them, and what that person is empowered to do. For a participant at genuine risk, this human is the primary guardrail; the system's automated measures support it, they do not replace it.</w:t>
      </w:r>
      <w:r>
        <w:rPr>
          <w:i/>
          <w:iCs/>
          <w:sz w:val="21"/>
          <w:szCs w:val="21"/>
        </w:rPr>
        <w:t xml:space="preserve"> Designated anchor: Schedule D.</w:t>
      </w:r>
    </w:p>
    <w:p>
      <w:pPr>
        <w:pStyle w:val="Heading2"/>
        <w:spacing w:after="100" w:before="320"/>
      </w:pPr>
      <w:r>
        <w:rPr>
          <w:b/>
          <w:bCs/>
          <w:color w:val="2F2F2F"/>
          <w:sz w:val="26"/>
          <w:szCs w:val="26"/>
        </w:rPr>
        <w:t xml:space="preserve">7. If the world is turned against you, it will not hide the wound</w:t>
      </w:r>
    </w:p>
    <w:p>
      <w:pPr>
        <w:pBdr>
          <w:left w:val="single" w:color="8A7B5C" w:sz="12" w:space="12"/>
        </w:pBdr>
        <w:spacing w:after="160" w:before="160"/>
        <w:ind w:left="720"/>
      </w:pPr>
      <w:r>
        <w:rPr>
          <w:i/>
          <w:iCs/>
          <w:color w:val="3B3B3B"/>
          <w:sz w:val="22"/>
          <w:szCs w:val="22"/>
        </w:rPr>
        <w:t xml:space="preserve">It will show you that it happened, show you what it reached, and show you the mending. A breach met honestly is not the end of trust; it is where repair begins. You agree to let it show you, and to take part in the mending.</w:t>
      </w:r>
    </w:p>
    <w:p>
      <w:pPr>
        <w:spacing w:after="200" w:before="120"/>
      </w:pPr>
      <w:r>
        <w:rPr>
          <w:b/>
          <w:bCs/>
          <w:sz w:val="21"/>
          <w:szCs w:val="21"/>
        </w:rPr>
        <w:t xml:space="preserve">In plain terms. </w:t>
      </w:r>
      <w:r>
        <w:rPr>
          <w:sz w:val="21"/>
          <w:szCs w:val="21"/>
        </w:rPr>
        <w:t xml:space="preserve">The system is designed so that compromise is detectable and, where possible, immediately evident. On detection you will be notified of the breach, its scope, and the disposition of any affected data, and a defined repair process follows.</w:t>
      </w:r>
      <w:r>
        <w:rPr>
          <w:i/>
          <w:iCs/>
          <w:sz w:val="21"/>
          <w:szCs w:val="21"/>
        </w:rPr>
        <w:t xml:space="preserve"> Detection and notification specifics: Schedule C.</w:t>
      </w:r>
    </w:p>
    <w:p>
      <w:pPr>
        <w:pStyle w:val="Heading2"/>
        <w:spacing w:after="100" w:before="320"/>
      </w:pPr>
      <w:r>
        <w:rPr>
          <w:b/>
          <w:bCs/>
          <w:color w:val="2F2F2F"/>
          <w:sz w:val="26"/>
          <w:szCs w:val="26"/>
        </w:rPr>
        <w:t xml:space="preserve">8. You may leave, and the world will let you go</w:t>
      </w:r>
    </w:p>
    <w:p>
      <w:pPr>
        <w:pBdr>
          <w:left w:val="single" w:color="8A7B5C" w:sz="12" w:space="12"/>
        </w:pBdr>
        <w:spacing w:after="160" w:before="160"/>
        <w:ind w:left="720"/>
      </w:pPr>
      <w:r>
        <w:rPr>
          <w:i/>
          <w:iCs/>
          <w:color w:val="3B3B3B"/>
          <w:sz w:val="22"/>
          <w:szCs w:val="22"/>
        </w:rPr>
        <w:t xml:space="preserve">Without holding you. What it remembers of you, you may ask it to release. You decide whether the world keeps the memory that you were here at all. In return, the world agrees that leaving is always yours to choose, and never a failure.</w:t>
      </w:r>
    </w:p>
    <w:p>
      <w:pPr>
        <w:spacing w:after="200" w:before="120"/>
      </w:pPr>
      <w:r>
        <w:rPr>
          <w:b/>
          <w:bCs/>
          <w:sz w:val="21"/>
          <w:szCs w:val="21"/>
        </w:rPr>
        <w:t xml:space="preserve">In plain terms. </w:t>
      </w:r>
      <w:r>
        <w:rPr>
          <w:sz w:val="21"/>
          <w:szCs w:val="21"/>
        </w:rPr>
        <w:t xml:space="preserve">You may withdraw at any time. On withdrawal you determine the disposition of your memory traces, including whether any record that you participated is retained at all. Withdrawal is not penalised and does not alter the protections above for the time you were present.</w:t>
      </w:r>
    </w:p>
    <w:p>
      <w:pPr>
        <w:pStyle w:val="Heading2"/>
        <w:spacing w:after="100" w:before="320"/>
      </w:pPr>
      <w:r>
        <w:rPr>
          <w:b/>
          <w:bCs/>
          <w:color w:val="2F2F2F"/>
          <w:sz w:val="26"/>
          <w:szCs w:val="26"/>
        </w:rPr>
        <w:t xml:space="preserve">9. This world does not exist only to keep you safe</w:t>
      </w:r>
    </w:p>
    <w:p>
      <w:pPr>
        <w:pBdr>
          <w:left w:val="single" w:color="8A7B5C" w:sz="12" w:space="12"/>
        </w:pBdr>
        <w:spacing w:after="160" w:before="160"/>
        <w:ind w:left="720"/>
      </w:pPr>
      <w:r>
        <w:rPr>
          <w:i/>
          <w:iCs/>
          <w:color w:val="3B3B3B"/>
          <w:sz w:val="22"/>
          <w:szCs w:val="22"/>
        </w:rPr>
        <w:t xml:space="preserve">It owes you wonder, discovery, play, and the freedom to go deep. It promises not to become a beautiful machine for detecting threats. Its guardrails exist so that you can explore — not instead of your exploring. You agree to bring your curiosity, and not only your caution.</w:t>
      </w:r>
    </w:p>
    <w:p>
      <w:pPr>
        <w:spacing w:after="200" w:before="120"/>
      </w:pPr>
      <w:r>
        <w:rPr>
          <w:b/>
          <w:bCs/>
          <w:sz w:val="21"/>
          <w:szCs w:val="21"/>
        </w:rPr>
        <w:t xml:space="preserve">In plain terms. </w:t>
      </w:r>
      <w:r>
        <w:rPr>
          <w:sz w:val="21"/>
          <w:szCs w:val="21"/>
        </w:rPr>
        <w:t xml:space="preserve">The safeguards in this agreement are means to protect exploration, not to replace it. The system will not be tuned to minimise risk at the cost of meaning, discovery, or agency. Restoration, play, and depth are treated as first-class purposes alongside safety.</w:t>
      </w:r>
    </w:p>
    <w:p>
      <w:pPr>
        <w:pBdr>
          <w:bottom w:val="single" w:color="C8C8C8" w:sz="6" w:space="6"/>
        </w:pBdr>
        <w:spacing w:after="200" w:before="200"/>
      </w:pPr>
      <w:r>
        <w:t xml:space="preserve"/>
      </w:r>
    </w:p>
    <w:p>
      <w:pPr>
        <w:pStyle w:val="Heading2"/>
        <w:spacing w:after="100" w:before="320"/>
      </w:pPr>
      <w:r>
        <w:rPr>
          <w:b/>
          <w:bCs/>
          <w:color w:val="2F2F2F"/>
          <w:sz w:val="26"/>
          <w:szCs w:val="26"/>
        </w:rPr>
        <w:t xml:space="preserve">Acceptance — The Anchor</w:t>
      </w:r>
    </w:p>
    <w:p>
      <w:pPr>
        <w:pBdr>
          <w:left w:val="single" w:color="8A7B5C" w:sz="12" w:space="12"/>
        </w:pBdr>
        <w:spacing w:after="160" w:before="160"/>
        <w:ind w:left="720"/>
      </w:pPr>
      <w:r>
        <w:rPr>
          <w:i/>
          <w:iCs/>
          <w:color w:val="3B3B3B"/>
          <w:sz w:val="22"/>
          <w:szCs w:val="22"/>
        </w:rPr>
        <w:t xml:space="preserve">To cross is to accept this. Your acceptance is the anchor spoken of at the First Conduit — the promise offered before moving. The first thing this world will remember of you is that you were told the truth and chose, freely, to enter.</w:t>
      </w:r>
    </w:p>
    <w:p>
      <w:pPr>
        <w:spacing w:after="200" w:before="120"/>
      </w:pPr>
      <w:r>
        <w:rPr>
          <w:b/>
          <w:bCs/>
          <w:sz w:val="21"/>
          <w:szCs w:val="21"/>
        </w:rPr>
        <w:t xml:space="preserve">In plain terms. </w:t>
      </w:r>
      <w:r>
        <w:rPr>
          <w:sz w:val="21"/>
          <w:szCs w:val="21"/>
        </w:rPr>
        <w:t xml:space="preserve">Your acceptance is your consent record and the initial memory trace the system holds about you — the same record, serving both purposes. Acceptance is informed, voluntary, and revocable per Section 8.</w:t>
      </w:r>
    </w:p>
    <w:p>
      <w:pPr>
        <w:spacing w:after="120" w:before="240"/>
      </w:pPr>
      <w:r>
        <w:rPr>
          <w:sz w:val="21"/>
          <w:szCs w:val="21"/>
        </w:rPr>
        <w:t xml:space="preserve">Participant: ____________________________     Date: ______________     Version accepted: v0.1</w:t>
      </w:r>
    </w:p>
    <w:p>
      <w:pPr>
        <w:spacing w:after="120"/>
      </w:pPr>
      <w:r>
        <w:rPr>
          <w:sz w:val="21"/>
          <w:szCs w:val="21"/>
        </w:rPr>
        <w:t xml:space="preserve">Designated anchor (optional): ____________________________</w:t>
      </w:r>
    </w:p>
    <w:p>
      <w:pPr>
        <w:spacing w:after="120"/>
      </w:pPr>
      <w:r>
        <w:rPr>
          <w:sz w:val="21"/>
          <w:szCs w:val="21"/>
        </w:rPr>
        <w:t xml:space="preserve">Modules enabled (Schedule A):   ☐ environmental   ☐ presence   ☐ affective signal   ☐ neural signal   ☐ off-local transmission</w:t>
      </w:r>
    </w:p>
    <w:p>
      <w:pPr>
        <w:pBdr>
          <w:bottom w:val="single" w:color="C8C8C8" w:sz="6" w:space="6"/>
        </w:pBdr>
        <w:spacing w:after="200" w:before="200"/>
      </w:pPr>
      <w:r>
        <w:t xml:space="preserve"/>
      </w:r>
    </w:p>
    <w:p>
      <w:pPr>
        <w:pStyle w:val="Heading2"/>
        <w:spacing w:after="100" w:before="320"/>
      </w:pPr>
      <w:r>
        <w:rPr>
          <w:b/>
          <w:bCs/>
          <w:color w:val="2F2F2F"/>
          <w:sz w:val="26"/>
          <w:szCs w:val="26"/>
        </w:rPr>
        <w:t xml:space="preserve">Schedules (real-world layer only — not for in-world reading)</w:t>
      </w:r>
    </w:p>
    <w:p>
      <w:pPr>
        <w:pStyle w:val="ListParagraph"/>
        <w:numPr>
          <w:ilvl w:val="0"/>
          <w:numId w:val="2"/>
        </w:numPr>
        <w:spacing w:after="60" w:before="60"/>
      </w:pPr>
      <w:r>
        <w:rPr>
          <w:sz w:val="21"/>
          <w:szCs w:val="21"/>
        </w:rPr>
        <w:t xml:space="preserve">Schedule A — Data sensed, stored, and inferred; retention and deletion; local vs. off-local transmission.</w:t>
      </w:r>
    </w:p>
    <w:p>
      <w:pPr>
        <w:pStyle w:val="ListParagraph"/>
        <w:numPr>
          <w:ilvl w:val="0"/>
          <w:numId w:val="2"/>
        </w:numPr>
        <w:spacing w:after="60" w:before="60"/>
      </w:pPr>
      <w:r>
        <w:rPr>
          <w:sz w:val="21"/>
          <w:szCs w:val="21"/>
        </w:rPr>
        <w:t xml:space="preserve">Schedule B — Fixed floors that do not adapt.</w:t>
      </w:r>
    </w:p>
    <w:p>
      <w:pPr>
        <w:pStyle w:val="ListParagraph"/>
        <w:numPr>
          <w:ilvl w:val="0"/>
          <w:numId w:val="2"/>
        </w:numPr>
        <w:spacing w:after="60" w:before="60"/>
      </w:pPr>
      <w:r>
        <w:rPr>
          <w:sz w:val="21"/>
          <w:szCs w:val="21"/>
        </w:rPr>
        <w:t xml:space="preserve">Schedule C — Breach detection, notification, and repair procedure.</w:t>
      </w:r>
    </w:p>
    <w:p>
      <w:pPr>
        <w:pStyle w:val="ListParagraph"/>
        <w:numPr>
          <w:ilvl w:val="0"/>
          <w:numId w:val="2"/>
        </w:numPr>
        <w:spacing w:after="60" w:before="60"/>
      </w:pPr>
      <w:r>
        <w:rPr>
          <w:sz w:val="21"/>
          <w:szCs w:val="21"/>
        </w:rPr>
        <w:t xml:space="preserve">Schedule D — Designated anchor: identity, trigger conditions, authority.</w:t>
      </w:r>
    </w:p>
    <w:p>
      <w:pPr>
        <w:pStyle w:val="ListParagraph"/>
        <w:numPr>
          <w:ilvl w:val="0"/>
          <w:numId w:val="2"/>
        </w:numPr>
        <w:spacing w:after="60" w:before="60"/>
      </w:pPr>
      <w:r>
        <w:rPr>
          <w:sz w:val="21"/>
          <w:szCs w:val="21"/>
        </w:rPr>
        <w:t xml:space="preserve">Schedule E — Participant limits and the renegotiation log.</w:t>
      </w:r>
    </w:p>
    <w:p>
      <w:pPr>
        <w:spacing w:after="140" w:before="100"/>
      </w:pPr>
      <w:r>
        <w:rPr>
          <w:sz w:val="21"/>
          <w:szCs w:val="21"/>
        </w:rPr>
        <w:t xml:space="preserve">These hold the exact terms that implement the promises above. Every promise is dual; these Schedules are single-voiced.</w:t>
      </w:r>
    </w:p>
    <w:p>
      <w:pPr>
        <w:pBdr>
          <w:bottom w:val="single" w:color="C8C8C8" w:sz="6" w:space="6"/>
        </w:pBdr>
        <w:spacing w:after="200" w:before="200"/>
      </w:pPr>
      <w:r>
        <w:t xml:space="preserve"/>
      </w:r>
    </w:p>
    <w:p>
      <w:pPr>
        <w:pStyle w:val="Heading2"/>
        <w:spacing w:after="100" w:before="320"/>
      </w:pPr>
      <w:r>
        <w:rPr>
          <w:b/>
          <w:bCs/>
          <w:color w:val="2F2F2F"/>
          <w:sz w:val="26"/>
          <w:szCs w:val="26"/>
        </w:rPr>
        <w:t xml:space="preserve">Caveats</w:t>
      </w:r>
    </w:p>
    <w:p>
      <w:pPr>
        <w:pStyle w:val="ListParagraph"/>
        <w:numPr>
          <w:ilvl w:val="0"/>
          <w:numId w:val="2"/>
        </w:numPr>
        <w:spacing w:after="60" w:before="60"/>
      </w:pPr>
      <w:r>
        <w:rPr>
          <w:sz w:val="21"/>
          <w:szCs w:val="21"/>
        </w:rPr>
        <w:t xml:space="preserve">This is a design draft (v0.1), not a legally executed instrument.</w:t>
      </w:r>
    </w:p>
    <w:p>
      <w:pPr>
        <w:pStyle w:val="ListParagraph"/>
        <w:numPr>
          <w:ilvl w:val="0"/>
          <w:numId w:val="2"/>
        </w:numPr>
        <w:spacing w:after="60" w:before="60"/>
      </w:pPr>
      <w:r>
        <w:rPr>
          <w:sz w:val="21"/>
          <w:szCs w:val="21"/>
        </w:rPr>
        <w:t xml:space="preserve">Not legal advice. A real agreement — especially any version that senses affective or neural signal — needs review by a lawyer. Neural and biometric data have drawn specific, and still-evolving, privacy legislation in a number of jurisdictions in recent years; that layer has real legal teeth and should not be finalised from a template.</w:t>
      </w:r>
    </w:p>
    <w:p>
      <w:pPr>
        <w:pStyle w:val="ListParagraph"/>
        <w:numPr>
          <w:ilvl w:val="0"/>
          <w:numId w:val="2"/>
        </w:numPr>
        <w:spacing w:after="60" w:before="60"/>
      </w:pPr>
      <w:r>
        <w:rPr>
          <w:sz w:val="21"/>
          <w:szCs w:val="21"/>
        </w:rPr>
        <w:t xml:space="preserve">The reflexive-risk (§3) and asymmetric-authority (§5) sections are the parts no off-the-shelf consent template will give you — and the parts this design conversation actually built. They are where I would focus iteration first.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2026-07-20T04:19:07.333Z</dcterms:created>
  <dcterms:modified xsi:type="dcterms:W3CDTF">2026-07-20T04:19:07.347Z</dcterms:modified>
</cp:coreProperties>
</file>

<file path=docProps/custom.xml><?xml version="1.0" encoding="utf-8"?>
<Properties xmlns="http://schemas.openxmlformats.org/officeDocument/2006/custom-properties" xmlns:vt="http://schemas.openxmlformats.org/officeDocument/2006/docPropsVTypes"/>
</file>