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21B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821B6" w:rsidRDefault="00EA595D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Kurzbeschreibung der Phasen</w:t>
            </w:r>
          </w:p>
          <w:p w:rsidR="00B821B6" w:rsidRDefault="00EA595D">
            <w:pPr>
              <w:jc w:val="center"/>
            </w:pPr>
            <w:proofErr w:type="spellStart"/>
            <w:r>
              <w:rPr>
                <w:color w:val="BDD7EE"/>
              </w:rPr>
              <w:t>KapTester</w:t>
            </w:r>
            <w:proofErr w:type="spellEnd"/>
            <w:r>
              <w:rPr>
                <w:color w:val="BDD7EE"/>
              </w:rPr>
              <w:t xml:space="preserve"> V</w:t>
            </w:r>
            <w:proofErr w:type="gramStart"/>
            <w:r>
              <w:rPr>
                <w:color w:val="BDD7EE"/>
              </w:rPr>
              <w:t>2  │</w:t>
            </w:r>
            <w:proofErr w:type="gramEnd"/>
            <w:r>
              <w:rPr>
                <w:color w:val="BDD7EE"/>
              </w:rPr>
              <w:t xml:space="preserve">  AP2 2026  │  Nico Schmidt</w:t>
            </w:r>
          </w:p>
        </w:tc>
      </w:tr>
    </w:tbl>
    <w:p w:rsidR="00B821B6" w:rsidRDefault="00B821B6">
      <w:pPr>
        <w:spacing w:before="80"/>
      </w:pPr>
    </w:p>
    <w:p w:rsidR="00B821B6" w:rsidRDefault="00EA595D">
      <w:pPr>
        <w:spacing w:after="60" w:line="340" w:lineRule="auto"/>
      </w:pPr>
      <w:r>
        <w:t>Dieser Abschnitt beschreibt die vier Projektphasen (Information, Planung, Durchführung, Bewertung) des betrieblichen Auftrags AP2 – Kapazitätstester V2.</w:t>
      </w:r>
    </w:p>
    <w:p w:rsidR="00B821B6" w:rsidRDefault="00B821B6">
      <w:pPr>
        <w:spacing w:before="60"/>
      </w:pPr>
    </w:p>
    <w:p w:rsidR="00B821B6" w:rsidRDefault="00B821B6">
      <w:pPr>
        <w:pBdr>
          <w:bottom w:val="single" w:sz="6" w:space="1" w:color="2E75B6"/>
        </w:pBdr>
      </w:pPr>
    </w:p>
    <w:p w:rsidR="00B821B6" w:rsidRDefault="00EA595D">
      <w:pPr>
        <w:spacing w:before="160" w:after="60"/>
      </w:pPr>
      <w:r>
        <w:rPr>
          <w:b/>
          <w:bCs/>
          <w:color w:val="1F4E79"/>
          <w:sz w:val="26"/>
          <w:szCs w:val="26"/>
        </w:rPr>
        <w:t>Phase 1: Information</w:t>
      </w:r>
    </w:p>
    <w:p w:rsidR="00B821B6" w:rsidRDefault="00EA595D">
      <w:pPr>
        <w:spacing w:after="80" w:line="360" w:lineRule="auto"/>
      </w:pPr>
      <w:r>
        <w:t>In der Informationsphase wurden die Anforderungen des Auftrags aufgenommen und das technische Konzept erarbeitet. Ausgangspunkt war der Bedarf im Ausbildungsbetrieb: Elektrolytkondensatoren bis 10.000 µF sollen schnell und sicher auf ihre Kapazität geprüft</w:t>
      </w:r>
      <w:r>
        <w:t xml:space="preserve"> werden können, ohne dass ein teures Laborgerät erforderlich ist.</w:t>
      </w:r>
    </w:p>
    <w:p w:rsidR="00B821B6" w:rsidRDefault="00EA595D">
      <w:pPr>
        <w:spacing w:after="80" w:line="360" w:lineRule="auto"/>
      </w:pPr>
      <w:r>
        <w:t xml:space="preserve">Das Messprinzip wurde auf Basis verfügbarer Bauteile gewählt: </w:t>
      </w:r>
      <w:proofErr w:type="spellStart"/>
      <w:r>
        <w:t>Konstantstromladung</w:t>
      </w:r>
      <w:proofErr w:type="spellEnd"/>
      <w:r>
        <w:t xml:space="preserve"> mit dem LM317L (I = 1,042 mA) und anschließende ADC-Zeitmessung durch den ATmega328P-AU mit interner 1,1-V-R</w:t>
      </w:r>
      <w:r>
        <w:t>eferenz. Dieses Verfahren liefert bei konstantem Strom eine lineare Spannungsrampe am Kondensator, woraus die Kapazität direkt berechnet werden kann: C = I × t / U.</w:t>
      </w:r>
    </w:p>
    <w:p w:rsidR="00B821B6" w:rsidRDefault="00EA595D">
      <w:pPr>
        <w:spacing w:after="80" w:line="360" w:lineRule="auto"/>
      </w:pPr>
      <w:r>
        <w:t>Parallel wurde die Systemarchitektur in einem Blockschaltbild dokumentiert und alle Schnitt</w:t>
      </w:r>
      <w:r>
        <w:t>stellen definiert. Als kritische Designentscheidungen wurden der PMOS-</w:t>
      </w:r>
      <w:proofErr w:type="spellStart"/>
      <w:r>
        <w:t>Verpolschutz</w:t>
      </w:r>
      <w:proofErr w:type="spellEnd"/>
      <w:r>
        <w:t xml:space="preserve"> (IRLML6402) und der gesteuerte Entladepfad (2N7002) identifiziert.</w:t>
      </w:r>
    </w:p>
    <w:p w:rsidR="00B821B6" w:rsidRDefault="00EA595D">
      <w:pPr>
        <w:spacing w:after="30" w:line="320" w:lineRule="auto"/>
        <w:ind w:left="360"/>
      </w:pPr>
      <w:r>
        <w:t>· Lastenheft V2 mit MUSS/SOLL/KANN-Anforderungen und Abnahmekriterien erstellt</w:t>
      </w:r>
    </w:p>
    <w:p w:rsidR="00B821B6" w:rsidRDefault="00EA595D">
      <w:pPr>
        <w:spacing w:after="30" w:line="320" w:lineRule="auto"/>
        <w:ind w:left="360"/>
      </w:pPr>
      <w:r>
        <w:t xml:space="preserve">· Blockschaltbild mit allen Signalpfaden (Power, </w:t>
      </w:r>
      <w:proofErr w:type="spellStart"/>
      <w:r>
        <w:t>Messpfad</w:t>
      </w:r>
      <w:proofErr w:type="spellEnd"/>
      <w:r>
        <w:t>, Steuerpfad) erstellt</w:t>
      </w:r>
    </w:p>
    <w:p w:rsidR="00B821B6" w:rsidRDefault="00EA595D">
      <w:pPr>
        <w:spacing w:after="30" w:line="320" w:lineRule="auto"/>
        <w:ind w:left="360"/>
      </w:pPr>
      <w:r>
        <w:t>· Technische Schaltungsbeschreibung aller 14 Funktionsblöcke erstellt</w:t>
      </w:r>
    </w:p>
    <w:p w:rsidR="00B821B6" w:rsidRDefault="00EA595D">
      <w:pPr>
        <w:spacing w:after="30" w:line="320" w:lineRule="auto"/>
        <w:ind w:left="360"/>
      </w:pPr>
      <w:r>
        <w:t>· Schaltplanauszug V2 (</w:t>
      </w:r>
      <w:proofErr w:type="spellStart"/>
      <w:r>
        <w:t>KiCad</w:t>
      </w:r>
      <w:proofErr w:type="spellEnd"/>
      <w:r>
        <w:t>) als Nachweis beigefügt</w:t>
      </w:r>
    </w:p>
    <w:p w:rsidR="00B821B6" w:rsidRDefault="00B821B6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21B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2E75B6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Messprinzip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festgelegt: </w:t>
            </w:r>
            <w:proofErr w:type="spellStart"/>
            <w:r>
              <w:rPr>
                <w:color w:val="1E8449"/>
                <w:sz w:val="19"/>
                <w:szCs w:val="19"/>
              </w:rPr>
              <w:t>Konstantstromladung</w:t>
            </w:r>
            <w:proofErr w:type="spellEnd"/>
            <w:r>
              <w:rPr>
                <w:color w:val="1E8449"/>
                <w:sz w:val="19"/>
                <w:szCs w:val="19"/>
              </w:rPr>
              <w:t xml:space="preserve"> + ADC</w:t>
            </w:r>
            <w:r>
              <w:rPr>
                <w:color w:val="1E8449"/>
                <w:sz w:val="19"/>
                <w:szCs w:val="19"/>
              </w:rPr>
              <w:t>-Zeitmessung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Systemarchitektur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dokumentiert, alle Netze benannt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Anforderungen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messbar und prüfbar im Lastenheft formuliert</w:t>
            </w:r>
          </w:p>
        </w:tc>
      </w:tr>
    </w:tbl>
    <w:p w:rsidR="00B821B6" w:rsidRDefault="00B821B6">
      <w:pPr>
        <w:spacing w:before="60"/>
      </w:pPr>
    </w:p>
    <w:p w:rsidR="00B821B6" w:rsidRDefault="00B821B6">
      <w:pPr>
        <w:pBdr>
          <w:bottom w:val="single" w:sz="6" w:space="1" w:color="2E75B6"/>
        </w:pBd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EA595D" w:rsidRDefault="00EA595D">
      <w:pPr>
        <w:spacing w:before="160" w:after="60"/>
        <w:rPr>
          <w:b/>
          <w:bCs/>
          <w:color w:val="1A6BAC"/>
          <w:sz w:val="26"/>
          <w:szCs w:val="26"/>
        </w:rPr>
      </w:pPr>
    </w:p>
    <w:p w:rsidR="00B821B6" w:rsidRDefault="00EA595D">
      <w:pPr>
        <w:spacing w:before="160" w:after="60"/>
      </w:pPr>
      <w:r>
        <w:rPr>
          <w:b/>
          <w:bCs/>
          <w:color w:val="1A6BAC"/>
          <w:sz w:val="26"/>
          <w:szCs w:val="26"/>
        </w:rPr>
        <w:lastRenderedPageBreak/>
        <w:t>Phase 2: Planung</w:t>
      </w:r>
    </w:p>
    <w:p w:rsidR="00B821B6" w:rsidRDefault="00EA595D">
      <w:pPr>
        <w:spacing w:after="80" w:line="360" w:lineRule="auto"/>
      </w:pPr>
      <w:r>
        <w:t>Die Planungsphase umfasste die vollständige Vorbereitung der Fertigung: Bauteilauswahl, Risikoanalyse, Schaltplanerstellung und PCB-Layout. Ein zentrales Ereignis in dieser Phase war das Erkennen eines kritischen Fehlers in der V1-Platine nach der Bestellu</w:t>
      </w:r>
      <w:r>
        <w:t xml:space="preserve">ng: Das verwendete </w:t>
      </w:r>
      <w:proofErr w:type="spellStart"/>
      <w:r>
        <w:t>KiCad</w:t>
      </w:r>
      <w:proofErr w:type="spellEnd"/>
      <w:r>
        <w:t>-Symbol für den ATmega328P-AU war ein DIP-28-Simulationssymbol statt des TQFP-32-Symbols. Alle 32 Pins waren damit falsch verdrahtet.</w:t>
      </w:r>
    </w:p>
    <w:p w:rsidR="00B821B6" w:rsidRDefault="00EA595D">
      <w:pPr>
        <w:spacing w:after="80" w:line="360" w:lineRule="auto"/>
      </w:pPr>
      <w:r>
        <w:t>Dieser Fehler (Risikoanalyse R6) wurde vollständig analysiert und durch eine komplette Neugestaltu</w:t>
      </w:r>
      <w:r>
        <w:t>ng von Schaltplan und PCB in Version 2 behoben. Gleichzeitig wurden zwei weitere Verbesserungen vorgenommen: Der Gate-Teiler des PMOS-</w:t>
      </w:r>
      <w:proofErr w:type="spellStart"/>
      <w:r>
        <w:t>Verpolschutzes</w:t>
      </w:r>
      <w:proofErr w:type="spellEnd"/>
      <w:r>
        <w:t xml:space="preserve"> wurde von 100 </w:t>
      </w:r>
      <w:proofErr w:type="spellStart"/>
      <w:r>
        <w:t>kΩ</w:t>
      </w:r>
      <w:proofErr w:type="spellEnd"/>
      <w:r>
        <w:t xml:space="preserve">/100 </w:t>
      </w:r>
      <w:proofErr w:type="spellStart"/>
      <w:r>
        <w:t>kΩ</w:t>
      </w:r>
      <w:proofErr w:type="spellEnd"/>
      <w:r>
        <w:t xml:space="preserve"> auf 1 MΩ/100 </w:t>
      </w:r>
      <w:proofErr w:type="spellStart"/>
      <w:r>
        <w:t>kΩ</w:t>
      </w:r>
      <w:proofErr w:type="spellEnd"/>
      <w:r>
        <w:t xml:space="preserve"> geändert (VGS von −2,5 V auf −4,5 V verbessert), und ein Entladestr</w:t>
      </w:r>
      <w:r>
        <w:t>ombegrenzer R20 (470 Ω) wurde in Serie mit dem 2N7002-Drain eingefügt, um thermische Überlastung bei Großkondensatoren zu verhindern (Risikoanalyse R7).</w:t>
      </w:r>
    </w:p>
    <w:p w:rsidR="00B821B6" w:rsidRDefault="00EA595D">
      <w:pPr>
        <w:spacing w:after="30" w:line="320" w:lineRule="auto"/>
        <w:ind w:left="360"/>
      </w:pPr>
      <w:r>
        <w:t>· Ablaufplan mit 21 Schritten erstellt, V2-Änderungen dokumentiert</w:t>
      </w:r>
    </w:p>
    <w:p w:rsidR="00B821B6" w:rsidRDefault="00EA595D">
      <w:pPr>
        <w:spacing w:after="30" w:line="320" w:lineRule="auto"/>
        <w:ind w:left="360"/>
      </w:pPr>
      <w:r>
        <w:t xml:space="preserve">· BOM V2 vollständig mit </w:t>
      </w:r>
      <w:proofErr w:type="spellStart"/>
      <w:r>
        <w:t>Footprints</w:t>
      </w:r>
      <w:proofErr w:type="spellEnd"/>
      <w:r>
        <w:t>,</w:t>
      </w:r>
      <w:r>
        <w:t xml:space="preserve"> Lieferanten und Bestellstatus</w:t>
      </w:r>
    </w:p>
    <w:p w:rsidR="00B821B6" w:rsidRDefault="00EA595D">
      <w:pPr>
        <w:spacing w:after="30" w:line="320" w:lineRule="auto"/>
        <w:ind w:left="360"/>
      </w:pPr>
      <w:r>
        <w:t>· Schnittstellentabelle: alle 16 Netze, 4 externe Stecker, 10 Testpunkte</w:t>
      </w:r>
    </w:p>
    <w:p w:rsidR="00B821B6" w:rsidRDefault="00EA595D">
      <w:pPr>
        <w:spacing w:after="30" w:line="320" w:lineRule="auto"/>
        <w:ind w:left="360"/>
      </w:pPr>
      <w:r>
        <w:t>· Risikoanalyse R1–R7 mit Ursache, Auswirkung, Maßnahme und Nachweis</w:t>
      </w:r>
    </w:p>
    <w:p w:rsidR="00B821B6" w:rsidRDefault="00EA595D">
      <w:pPr>
        <w:spacing w:after="30" w:line="320" w:lineRule="auto"/>
        <w:ind w:left="360"/>
      </w:pPr>
      <w:r>
        <w:t xml:space="preserve">· V2-PCB (90×70 mm, 2-lagig, DRC = 0 Fehler) bei </w:t>
      </w:r>
      <w:proofErr w:type="spellStart"/>
      <w:r>
        <w:t>PCBWay</w:t>
      </w:r>
      <w:proofErr w:type="spellEnd"/>
      <w:r>
        <w:t xml:space="preserve"> bestellt</w:t>
      </w:r>
    </w:p>
    <w:p w:rsidR="00B821B6" w:rsidRDefault="00B821B6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21B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2E75B6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V</w:t>
            </w:r>
            <w:proofErr w:type="gramEnd"/>
            <w:r>
              <w:rPr>
                <w:color w:val="1E8449"/>
                <w:sz w:val="19"/>
                <w:szCs w:val="19"/>
              </w:rPr>
              <w:t>1-Fehler (fal</w:t>
            </w:r>
            <w:r>
              <w:rPr>
                <w:color w:val="1E8449"/>
                <w:sz w:val="19"/>
                <w:szCs w:val="19"/>
              </w:rPr>
              <w:t xml:space="preserve">sches </w:t>
            </w:r>
            <w:proofErr w:type="spellStart"/>
            <w:r>
              <w:rPr>
                <w:color w:val="1E8449"/>
                <w:sz w:val="19"/>
                <w:szCs w:val="19"/>
              </w:rPr>
              <w:t>ATmega</w:t>
            </w:r>
            <w:proofErr w:type="spellEnd"/>
            <w:r>
              <w:rPr>
                <w:color w:val="1E8449"/>
                <w:sz w:val="19"/>
                <w:szCs w:val="19"/>
              </w:rPr>
              <w:t>-Symbol) erkannt, analysiert und in V2 behoben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PCB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V2 bestellt: 5 Stück, 90×70 mm, </w:t>
            </w:r>
            <w:proofErr w:type="spellStart"/>
            <w:r>
              <w:rPr>
                <w:color w:val="1E8449"/>
                <w:sz w:val="19"/>
                <w:szCs w:val="19"/>
              </w:rPr>
              <w:t>PCBWay</w:t>
            </w:r>
            <w:proofErr w:type="spellEnd"/>
            <w:r>
              <w:rPr>
                <w:color w:val="1E8449"/>
                <w:sz w:val="19"/>
                <w:szCs w:val="19"/>
              </w:rPr>
              <w:t>, Lieferung ~30.04.2026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Alle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V2-Verbesserungen (R2=1MΩ, R20=470Ω) in Schaltplan und PCB eingearbeitet</w:t>
            </w:r>
          </w:p>
        </w:tc>
      </w:tr>
    </w:tbl>
    <w:p w:rsidR="00B821B6" w:rsidRDefault="00B821B6">
      <w:pPr>
        <w:pBdr>
          <w:bottom w:val="single" w:sz="6" w:space="1" w:color="2E75B6"/>
        </w:pBdr>
      </w:pPr>
      <w:bookmarkStart w:id="0" w:name="_GoBack"/>
      <w:bookmarkEnd w:id="0"/>
    </w:p>
    <w:p w:rsidR="00B821B6" w:rsidRDefault="00EA595D">
      <w:pPr>
        <w:spacing w:before="160" w:after="60"/>
      </w:pPr>
      <w:r>
        <w:rPr>
          <w:b/>
          <w:bCs/>
          <w:color w:val="1E8449"/>
          <w:sz w:val="26"/>
          <w:szCs w:val="26"/>
        </w:rPr>
        <w:t>Phase 3: Durchführung</w:t>
      </w:r>
    </w:p>
    <w:p w:rsidR="00B821B6" w:rsidRDefault="00EA595D">
      <w:pPr>
        <w:spacing w:after="80" w:line="360" w:lineRule="auto"/>
      </w:pPr>
      <w:r>
        <w:t>Die Durchführungsphase umfasst Wareneingang, Bestückung und Löten der V2-Platine. Die Bestückungsreihenfolge folgt dem bewährten Schema: SMD-Passivteile zuerst, dann SMD-ICs (SOT-23, SOT-89), danach der TQFP-32-Mikrocontroller, zuletzt alle THT-Bauteile un</w:t>
      </w:r>
      <w:r>
        <w:t>d Steckverbinder.</w:t>
      </w:r>
    </w:p>
    <w:p w:rsidR="00B821B6" w:rsidRDefault="00EA595D">
      <w:pPr>
        <w:spacing w:after="80" w:line="360" w:lineRule="auto"/>
      </w:pPr>
      <w:r>
        <w:t xml:space="preserve">Besondere Sorgfalt gilt dem ATmega328P-AU (TQFP-32, 0,8-mm-Pinabstand): Pin 1 muss mit der Markierung auf dem Silkscreen übereinstimmen. Der Lötvorgang wird mit einer </w:t>
      </w:r>
      <w:proofErr w:type="spellStart"/>
      <w:r>
        <w:t>Meißelspitze</w:t>
      </w:r>
      <w:proofErr w:type="spellEnd"/>
      <w:r>
        <w:t xml:space="preserve"> bei 375 °C und </w:t>
      </w:r>
      <w:proofErr w:type="spellStart"/>
      <w:r>
        <w:t>No</w:t>
      </w:r>
      <w:proofErr w:type="spellEnd"/>
      <w:r>
        <w:t xml:space="preserve">-Clean-Lot durchgeführt. Alle Lötstellen </w:t>
      </w:r>
      <w:r>
        <w:t>werden anschließend mit einer Lupe auf Lötbrücken, kalte Lötstellen und Pad-Schäden geprüft.</w:t>
      </w:r>
    </w:p>
    <w:p w:rsidR="00B821B6" w:rsidRDefault="00EA595D">
      <w:pPr>
        <w:spacing w:after="80" w:line="360" w:lineRule="auto"/>
      </w:pPr>
      <w:r>
        <w:t>Ein weiterer wichtiger Schritt ist die Dokumentation durch Fotos: leere Platine, nach SMD-Bestückung und nach vollständiger THT-Montage. Das Lötprotokoll wird para</w:t>
      </w:r>
      <w:r>
        <w:t>llel zur Bestückung ausgefüllt.</w:t>
      </w:r>
    </w:p>
    <w:p w:rsidR="00B821B6" w:rsidRDefault="00EA595D">
      <w:pPr>
        <w:spacing w:after="30" w:line="320" w:lineRule="auto"/>
        <w:ind w:left="360"/>
      </w:pPr>
      <w:r>
        <w:t>· Wareneingang V2-Platinen und Bauteile (Abgleich BOM)</w:t>
      </w:r>
    </w:p>
    <w:p w:rsidR="00B821B6" w:rsidRDefault="00EA595D">
      <w:pPr>
        <w:spacing w:after="30" w:line="320" w:lineRule="auto"/>
        <w:ind w:left="360"/>
      </w:pPr>
      <w:r>
        <w:t>· Bestückung nach Lötprotokoll, 12 Schritte in festgelegter Reihenfolge</w:t>
      </w:r>
    </w:p>
    <w:p w:rsidR="00B821B6" w:rsidRDefault="00EA595D">
      <w:pPr>
        <w:spacing w:after="30" w:line="320" w:lineRule="auto"/>
        <w:ind w:left="360"/>
      </w:pPr>
      <w:r>
        <w:t>· Besondere Prüfung R20 (470 Ω) in Serie Q2-Drain – V2-Neubauteil</w:t>
      </w:r>
    </w:p>
    <w:p w:rsidR="00B821B6" w:rsidRDefault="00EA595D">
      <w:pPr>
        <w:spacing w:after="30" w:line="320" w:lineRule="auto"/>
        <w:ind w:left="360"/>
      </w:pPr>
      <w:r>
        <w:t>· Sichtprüfung nach IPC-A-610 K</w:t>
      </w:r>
      <w:r>
        <w:t>lasse 2 (11 Kriterien)</w:t>
      </w:r>
    </w:p>
    <w:p w:rsidR="00B821B6" w:rsidRDefault="00EA595D" w:rsidP="00EA595D">
      <w:pPr>
        <w:spacing w:after="30" w:line="320" w:lineRule="auto"/>
        <w:ind w:left="360"/>
      </w:pPr>
      <w:r>
        <w:t>· Fotodokumentation: leer / nach SMD / nach THT / Gesamtansicht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21B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2E75B6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Platine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V2 vollständig bestückt und gelötet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Sichtprüfung</w:t>
            </w:r>
            <w:proofErr w:type="gramEnd"/>
            <w:r>
              <w:rPr>
                <w:color w:val="1E8449"/>
                <w:sz w:val="19"/>
                <w:szCs w:val="19"/>
              </w:rPr>
              <w:t>: alle 11 Kriterien geprüft und dokumentiert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Fotos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der Bestückung als Anlage beigefügt</w:t>
            </w:r>
          </w:p>
        </w:tc>
      </w:tr>
    </w:tbl>
    <w:p w:rsidR="00B821B6" w:rsidRDefault="00B821B6">
      <w:pPr>
        <w:spacing w:before="60"/>
      </w:pPr>
    </w:p>
    <w:p w:rsidR="00B821B6" w:rsidRDefault="00B821B6">
      <w:pPr>
        <w:pBdr>
          <w:bottom w:val="single" w:sz="6" w:space="1" w:color="2E75B6"/>
        </w:pBdr>
      </w:pPr>
    </w:p>
    <w:p w:rsidR="00B821B6" w:rsidRDefault="00EA595D">
      <w:pPr>
        <w:spacing w:before="160" w:after="60"/>
      </w:pPr>
      <w:r>
        <w:rPr>
          <w:b/>
          <w:bCs/>
          <w:color w:val="8B4000"/>
          <w:sz w:val="26"/>
          <w:szCs w:val="26"/>
        </w:rPr>
        <w:t xml:space="preserve">Phase 4: </w:t>
      </w:r>
      <w:r>
        <w:rPr>
          <w:b/>
          <w:bCs/>
          <w:color w:val="8B4000"/>
          <w:sz w:val="26"/>
          <w:szCs w:val="26"/>
        </w:rPr>
        <w:t>Bewertung</w:t>
      </w:r>
    </w:p>
    <w:p w:rsidR="00B821B6" w:rsidRDefault="00EA595D">
      <w:pPr>
        <w:spacing w:after="80" w:line="360" w:lineRule="auto"/>
      </w:pPr>
      <w:r>
        <w:t xml:space="preserve">Die Bewertungsphase beinhaltet Inbetriebnahme, Funktionsprüfung und formale Übergabe. Die Inbetriebnahme erfolgt schrittweise: zuerst Kurzschlusscheck mit dem Ohmmeter (GND gegen +5V_BOARD), dann Ersteinschalten mit 5 V / 100 mA Strombegrenzung. </w:t>
      </w:r>
      <w:r>
        <w:t>Alle 10 Testpunkte (JTP1–JTP10) werden mit dem Digitalmultimeter vermessen und im Inbetriebnahmeprotokoll dokumentiert.</w:t>
      </w:r>
    </w:p>
    <w:p w:rsidR="00B821B6" w:rsidRDefault="00EA595D">
      <w:pPr>
        <w:spacing w:after="80" w:line="360" w:lineRule="auto"/>
      </w:pPr>
      <w:r>
        <w:t xml:space="preserve">Nach erfolgreicher Inbetriebnahme werden die </w:t>
      </w:r>
      <w:proofErr w:type="spellStart"/>
      <w:r>
        <w:t>Fuse</w:t>
      </w:r>
      <w:proofErr w:type="spellEnd"/>
      <w:r>
        <w:t xml:space="preserve"> Bits des </w:t>
      </w:r>
      <w:proofErr w:type="spellStart"/>
      <w:r>
        <w:t>ATmega</w:t>
      </w:r>
      <w:proofErr w:type="spellEnd"/>
      <w:r>
        <w:t xml:space="preserve"> gesetzt (LFUSE=0xFF, HFUSE=0xD9, EFUSE=0xFF) und die Firmware über den</w:t>
      </w:r>
      <w:r>
        <w:t xml:space="preserve"> </w:t>
      </w:r>
      <w:proofErr w:type="spellStart"/>
      <w:r>
        <w:t>USBasp-Programmer</w:t>
      </w:r>
      <w:proofErr w:type="spellEnd"/>
      <w:r>
        <w:t xml:space="preserve"> via J4 (AVR-ISP-6) geladen. Die Funktionsprüfung umfasst fünf Referenzkondensatoren (10 / 100 / 1.000 / 4.700 / 10.000 µF) sowie </w:t>
      </w:r>
      <w:proofErr w:type="spellStart"/>
      <w:r>
        <w:t>Verpoltest</w:t>
      </w:r>
      <w:proofErr w:type="spellEnd"/>
      <w:r>
        <w:t>, Entladetest und Timeout-Test gemäß Lastenheft.</w:t>
      </w:r>
    </w:p>
    <w:p w:rsidR="00B821B6" w:rsidRDefault="00EA595D">
      <w:pPr>
        <w:spacing w:after="80" w:line="360" w:lineRule="auto"/>
      </w:pPr>
      <w:r>
        <w:t>Die Abnahme gilt als erfüllt, wenn alle MUSS-Krit</w:t>
      </w:r>
      <w:r>
        <w:t xml:space="preserve">erien des Lastenhefts nachweisbar erfüllt sind (Messgenauigkeit ±20 %, Entladezeit &lt; 10 s, keine Beschädigung bei </w:t>
      </w:r>
      <w:proofErr w:type="spellStart"/>
      <w:r>
        <w:t>Verpolung</w:t>
      </w:r>
      <w:proofErr w:type="spellEnd"/>
      <w:r>
        <w:t>, Fehlerzustandsanzeige funktioniert).</w:t>
      </w:r>
    </w:p>
    <w:p w:rsidR="00B821B6" w:rsidRDefault="00EA595D">
      <w:pPr>
        <w:spacing w:after="30" w:line="320" w:lineRule="auto"/>
        <w:ind w:left="360"/>
      </w:pPr>
      <w:r>
        <w:t>· Inbetriebnahmeprotokoll: Kurzschlusscheck, Ersteinschalten, Testpunkte JTP1–10</w:t>
      </w:r>
    </w:p>
    <w:p w:rsidR="00B821B6" w:rsidRDefault="00EA595D">
      <w:pPr>
        <w:spacing w:after="30" w:line="320" w:lineRule="auto"/>
        <w:ind w:left="360"/>
      </w:pPr>
      <w:r>
        <w:t xml:space="preserve">· Firmware </w:t>
      </w:r>
      <w:proofErr w:type="spellStart"/>
      <w:r>
        <w:t>flashen</w:t>
      </w:r>
      <w:proofErr w:type="spellEnd"/>
      <w:r>
        <w:t xml:space="preserve">: </w:t>
      </w:r>
      <w:proofErr w:type="spellStart"/>
      <w:r>
        <w:t>Fuse</w:t>
      </w:r>
      <w:proofErr w:type="spellEnd"/>
      <w:r>
        <w:t xml:space="preserve"> Bits + </w:t>
      </w:r>
      <w:proofErr w:type="spellStart"/>
      <w:r>
        <w:t>kaptester.hex</w:t>
      </w:r>
      <w:proofErr w:type="spellEnd"/>
      <w:r>
        <w:t xml:space="preserve"> via </w:t>
      </w:r>
      <w:proofErr w:type="spellStart"/>
      <w:r>
        <w:t>USBasp</w:t>
      </w:r>
      <w:proofErr w:type="spellEnd"/>
    </w:p>
    <w:p w:rsidR="00B821B6" w:rsidRDefault="00EA595D">
      <w:pPr>
        <w:spacing w:after="30" w:line="320" w:lineRule="auto"/>
        <w:ind w:left="360"/>
      </w:pPr>
      <w:r>
        <w:t xml:space="preserve">· Messprotokoll: 5 Referenz-DUTs, </w:t>
      </w:r>
      <w:proofErr w:type="spellStart"/>
      <w:r>
        <w:t>Verpoltest</w:t>
      </w:r>
      <w:proofErr w:type="spellEnd"/>
      <w:r>
        <w:t>, Entladetest, Timeout</w:t>
      </w:r>
    </w:p>
    <w:p w:rsidR="00B821B6" w:rsidRDefault="00EA595D">
      <w:pPr>
        <w:spacing w:after="30" w:line="320" w:lineRule="auto"/>
        <w:ind w:left="360"/>
      </w:pPr>
      <w:r>
        <w:t>· Abnahmeprotokoll: alle 8 Testfälle abgehakt</w:t>
      </w:r>
    </w:p>
    <w:p w:rsidR="00B821B6" w:rsidRDefault="00EA595D">
      <w:pPr>
        <w:spacing w:after="30" w:line="320" w:lineRule="auto"/>
        <w:ind w:left="360"/>
      </w:pPr>
      <w:r>
        <w:t>· Bedienungsanleitung als Übergabedokument</w:t>
      </w:r>
    </w:p>
    <w:p w:rsidR="00B821B6" w:rsidRDefault="00B821B6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21B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BBBB"/>
              <w:left w:val="single" w:sz="16" w:space="0" w:color="2E75B6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200" w:type="dxa"/>
              <w:bottom w:w="80" w:type="dxa"/>
              <w:right w:w="120" w:type="dxa"/>
            </w:tcMar>
          </w:tcPr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Kapazitätsmessung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10–10.000 µF mit ±20 </w:t>
            </w:r>
            <w:r>
              <w:rPr>
                <w:color w:val="1E8449"/>
                <w:sz w:val="19"/>
                <w:szCs w:val="19"/>
              </w:rPr>
              <w:t>% Genauigkeit nachgewiesen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Alle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MUSS-Anforderungen des Lastenhefts erfüllt</w:t>
            </w:r>
          </w:p>
          <w:p w:rsidR="00B821B6" w:rsidRDefault="00EA595D">
            <w:pPr>
              <w:spacing w:after="20" w:line="300" w:lineRule="auto"/>
            </w:pPr>
            <w:proofErr w:type="gramStart"/>
            <w:r>
              <w:rPr>
                <w:color w:val="1E8449"/>
                <w:sz w:val="19"/>
                <w:szCs w:val="19"/>
              </w:rPr>
              <w:t>✓</w:t>
            </w:r>
            <w:r>
              <w:rPr>
                <w:color w:val="1E8449"/>
                <w:sz w:val="19"/>
                <w:szCs w:val="19"/>
              </w:rPr>
              <w:t xml:space="preserve">  Übergabe</w:t>
            </w:r>
            <w:proofErr w:type="gramEnd"/>
            <w:r>
              <w:rPr>
                <w:color w:val="1E8449"/>
                <w:sz w:val="19"/>
                <w:szCs w:val="19"/>
              </w:rPr>
              <w:t xml:space="preserve"> an Ausbildungsbetrieb mit Bedienungsanleitung</w:t>
            </w:r>
          </w:p>
        </w:tc>
      </w:tr>
    </w:tbl>
    <w:p w:rsidR="00B821B6" w:rsidRDefault="00B821B6">
      <w:pPr>
        <w:spacing w:before="100"/>
      </w:pPr>
    </w:p>
    <w:p w:rsidR="00B821B6" w:rsidRDefault="00EA595D">
      <w:pPr>
        <w:pBdr>
          <w:top w:val="single" w:sz="4" w:space="1" w:color="AAAAAA"/>
        </w:pBdr>
        <w:spacing w:before="80"/>
        <w:jc w:val="right"/>
      </w:pPr>
      <w:proofErr w:type="spellStart"/>
      <w:r>
        <w:rPr>
          <w:color w:val="888888"/>
          <w:sz w:val="16"/>
          <w:szCs w:val="16"/>
        </w:rPr>
        <w:t>KapTester</w:t>
      </w:r>
      <w:proofErr w:type="spellEnd"/>
      <w:r>
        <w:rPr>
          <w:color w:val="888888"/>
          <w:sz w:val="16"/>
          <w:szCs w:val="16"/>
        </w:rPr>
        <w:t xml:space="preserve"> V</w:t>
      </w:r>
      <w:proofErr w:type="gramStart"/>
      <w:r>
        <w:rPr>
          <w:color w:val="888888"/>
          <w:sz w:val="16"/>
          <w:szCs w:val="16"/>
        </w:rPr>
        <w:t>2  ·</w:t>
      </w:r>
      <w:proofErr w:type="gramEnd"/>
      <w:r>
        <w:rPr>
          <w:color w:val="888888"/>
          <w:sz w:val="16"/>
          <w:szCs w:val="16"/>
        </w:rPr>
        <w:t xml:space="preserve">  Kurzbeschreibung der Phasen  ·  Nico Schmidt  ·  IHK Osnabrück AP2 2026</w:t>
      </w:r>
    </w:p>
    <w:sectPr w:rsidR="00B821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C43968"/>
    <w:multiLevelType w:val="hybridMultilevel"/>
    <w:tmpl w:val="FF0E7ECC"/>
    <w:lvl w:ilvl="0" w:tplc="CF9C2DC6">
      <w:start w:val="1"/>
      <w:numFmt w:val="bullet"/>
      <w:lvlText w:val="●"/>
      <w:lvlJc w:val="left"/>
      <w:pPr>
        <w:ind w:left="720" w:hanging="360"/>
      </w:pPr>
    </w:lvl>
    <w:lvl w:ilvl="1" w:tplc="65B8C988">
      <w:start w:val="1"/>
      <w:numFmt w:val="bullet"/>
      <w:lvlText w:val="○"/>
      <w:lvlJc w:val="left"/>
      <w:pPr>
        <w:ind w:left="1440" w:hanging="360"/>
      </w:pPr>
    </w:lvl>
    <w:lvl w:ilvl="2" w:tplc="FB2C7B34">
      <w:start w:val="1"/>
      <w:numFmt w:val="bullet"/>
      <w:lvlText w:val="■"/>
      <w:lvlJc w:val="left"/>
      <w:pPr>
        <w:ind w:left="2160" w:hanging="360"/>
      </w:pPr>
    </w:lvl>
    <w:lvl w:ilvl="3" w:tplc="F44ED406">
      <w:start w:val="1"/>
      <w:numFmt w:val="bullet"/>
      <w:lvlText w:val="●"/>
      <w:lvlJc w:val="left"/>
      <w:pPr>
        <w:ind w:left="2880" w:hanging="360"/>
      </w:pPr>
    </w:lvl>
    <w:lvl w:ilvl="4" w:tplc="882EE2CC">
      <w:start w:val="1"/>
      <w:numFmt w:val="bullet"/>
      <w:lvlText w:val="○"/>
      <w:lvlJc w:val="left"/>
      <w:pPr>
        <w:ind w:left="3600" w:hanging="360"/>
      </w:pPr>
    </w:lvl>
    <w:lvl w:ilvl="5" w:tplc="50D2183C">
      <w:start w:val="1"/>
      <w:numFmt w:val="bullet"/>
      <w:lvlText w:val="■"/>
      <w:lvlJc w:val="left"/>
      <w:pPr>
        <w:ind w:left="4320" w:hanging="360"/>
      </w:pPr>
    </w:lvl>
    <w:lvl w:ilvl="6" w:tplc="21A0638C">
      <w:start w:val="1"/>
      <w:numFmt w:val="bullet"/>
      <w:lvlText w:val="●"/>
      <w:lvlJc w:val="left"/>
      <w:pPr>
        <w:ind w:left="5040" w:hanging="360"/>
      </w:pPr>
    </w:lvl>
    <w:lvl w:ilvl="7" w:tplc="55B0AFB6">
      <w:start w:val="1"/>
      <w:numFmt w:val="bullet"/>
      <w:lvlText w:val="●"/>
      <w:lvlJc w:val="left"/>
      <w:pPr>
        <w:ind w:left="5760" w:hanging="360"/>
      </w:pPr>
    </w:lvl>
    <w:lvl w:ilvl="8" w:tplc="45DEC6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1B6"/>
    <w:rsid w:val="00B821B6"/>
    <w:rsid w:val="00EA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C1C58"/>
  <w15:docId w15:val="{088D13B4-5D01-4C30-99C4-CABF656E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813</Words>
  <Characters>5129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 Schmidt</cp:lastModifiedBy>
  <cp:revision>2</cp:revision>
  <dcterms:created xsi:type="dcterms:W3CDTF">2026-04-26T13:08:00Z</dcterms:created>
  <dcterms:modified xsi:type="dcterms:W3CDTF">2026-04-27T07:23:00Z</dcterms:modified>
</cp:coreProperties>
</file>