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38" w:type="dxa"/>
        <w:jc w:val="start"/>
        <w:tblInd w:w="0" w:type="dxa"/>
        <w:tblLayout w:type="fixed"/>
        <w:tblCellMar>
          <w:top w:w="160" w:type="dxa"/>
          <w:start w:w="240" w:type="dxa"/>
          <w:bottom w:w="160" w:type="dxa"/>
          <w:end w:w="240" w:type="dxa"/>
        </w:tblCellMar>
        <w:tblLook w:firstRow="1" w:noVBand="1" w:lastRow="0" w:firstColumn="1" w:lastColumn="0" w:noHBand="0" w:val="04a0"/>
      </w:tblPr>
      <w:tblGrid>
        <w:gridCol w:w="9638"/>
      </w:tblGrid>
      <w:tr>
        <w:trPr/>
        <w:tc>
          <w:tcPr>
            <w:tcW w:w="9638" w:type="dxa"/>
            <w:tcBorders/>
            <w:shd w:color="auto" w:fill="1F4E79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30"/>
                <w:szCs w:val="30"/>
              </w:rPr>
              <w:t>Abkürzungsverzeichnis</w:t>
            </w:r>
          </w:p>
          <w:p>
            <w:pPr>
              <w:pStyle w:val="Normal"/>
              <w:jc w:val="center"/>
              <w:rPr/>
            </w:pPr>
            <w:r>
              <w:rPr>
                <w:color w:val="BDD7EE"/>
                <w:sz w:val="20"/>
                <w:szCs w:val="20"/>
              </w:rPr>
              <w:t>KapTester V2  │  AP2 2026  │  Nico Schmidt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0" w:after="60"/>
        <w:rPr/>
      </w:pPr>
      <w:r>
        <w:rPr>
          <w:color w:val="555555"/>
        </w:rPr>
        <w:t>Alle in der Projektdokumentation verwendeten Abkürzungen, Netznamen und Fachbegriffe in alphabetischer Gruppenreihenfolge.</w:t>
      </w:r>
    </w:p>
    <w:p>
      <w:pPr>
        <w:pStyle w:val="Normal"/>
        <w:spacing w:before="40" w:after="0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  <w:tblLook w:firstRow="1" w:noVBand="1" w:lastRow="0" w:firstColumn="1" w:lastColumn="0" w:noHBand="0" w:val="04a0"/>
      </w:tblPr>
      <w:tblGrid>
        <w:gridCol w:w="1451"/>
        <w:gridCol w:w="6589"/>
        <w:gridCol w:w="1598"/>
      </w:tblGrid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Abkürzung / Begriff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Bedeutung / Erklärung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Kontext / Vorkommen</w:t>
            </w:r>
          </w:p>
        </w:tc>
      </w:tr>
      <w:tr>
        <w:trPr/>
        <w:tc>
          <w:tcPr>
            <w:tcW w:w="9638" w:type="dxa"/>
            <w:gridSpan w:val="3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tcMar>
              <w:start w:w="140" w:type="dxa"/>
              <w:end w:w="14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A · Allgemein / Projekt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AP2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Abschlussprüfung Teil 2 (IHK)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Prüfungskontext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BOM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Bill of Materials – Stückliste aller Bauteile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Planung, KiCad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DRC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Design Rule Check – automatische Prüfung des PCB-Layouts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KiCad PCB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DUT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Device Under Test – das zu prüfende Bauteil (hier: Kondensator)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Schaltplan, Protokolle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ERC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Electrical Rules Check – Prüfung des Schaltplans auf Fehler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KiCad Schematic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IHK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Industrie- und Handelskammer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Prüfungskontext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IST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Aktueller Zustand (Ausgangssituation)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Kurzbeschreibung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SOLL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Zielzustand (Ergebnis)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Kurzbeschreibung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THT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Through-Hole Technology – bedrahtete Bauteile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Bestückung, BOM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SMD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Surface-Mounted Device – oberflächenmontierte Bauteile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Bestückung, BOM</w:t>
            </w:r>
          </w:p>
        </w:tc>
      </w:tr>
      <w:tr>
        <w:trPr/>
        <w:tc>
          <w:tcPr>
            <w:tcW w:w="9638" w:type="dxa"/>
            <w:gridSpan w:val="3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tcMar>
              <w:start w:w="140" w:type="dxa"/>
              <w:end w:w="14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B · Elektronik / Schaltung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ADC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Analog-to-Digital Converter – Analog-Digital-Wandler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ATmega, Messung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ADC0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Kanal 0 des ADC (ATmega-Pin PC0)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Schaltplan, Firmware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AVCC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Analoge Versorgungsspannung des ADC (ATmega-Pin 18)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Schaltplan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ESR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Equivalent Series Resistance – Reihenwiderstand eines Kondensators (nicht gemessen)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Lastenheft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MOSFET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Metal-Oxide-Semiconductor Field-Effect Transistor – Feldeffekttransistor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Schaltplan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NMOS / N-MOSFET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N-Kanal MOSFET (low-side Schalter, z. B. Entladepfad Q2)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Q2 / 2N7002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PMOS / P-MOSFET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P-Kanal MOSFET (high-side Schalter, z. B. Verpolschutz Q1)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Q1 / IRLML6402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PWM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Pulse Width Modulation – Pulsweitenmodulation (hier nicht genutzt)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Allgemein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RC-Filter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 xml:space="preserve">R1 / ADC ESD-Schutz 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R1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SELV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Safety Extra Low Voltage – Schutzkleinspannung (hier: 5 V DC)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Protokolle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SPI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Serial Peripheral Interface – serieller Bus (für ISP-Programmierung)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ISP, Firmware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TQFP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Thin Quad Flat Package – Gehäuseform des ATmega328P-AU (32-polig, 7×7 mm)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U1, BOM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VGS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Gate-Source-Spannung am MOSFET (bestimmt Leitfähigkeit)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Q1 Analyse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>
                <w:color w:val="666666"/>
                <w:sz w:val="17"/>
                <w:szCs w:val="17"/>
              </w:rPr>
            </w:pPr>
            <w:r>
              <w:rPr>
                <w:color w:val="666666"/>
                <w:sz w:val="17"/>
                <w:szCs w:val="17"/>
              </w:rPr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>
                <w:color w:val="666666"/>
                <w:sz w:val="17"/>
                <w:szCs w:val="17"/>
              </w:rPr>
            </w:pPr>
            <w:r>
              <w:rPr>
                <w:color w:val="666666"/>
                <w:sz w:val="17"/>
                <w:szCs w:val="17"/>
              </w:rPr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>
                <w:color w:val="666666"/>
                <w:sz w:val="17"/>
                <w:szCs w:val="17"/>
              </w:rPr>
            </w:pPr>
            <w:r>
              <w:rPr>
                <w:color w:val="666666"/>
                <w:sz w:val="17"/>
                <w:szCs w:val="17"/>
              </w:rPr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>
                <w:color w:val="666666"/>
                <w:sz w:val="17"/>
                <w:szCs w:val="17"/>
              </w:rPr>
            </w:pPr>
            <w:r>
              <w:rPr>
                <w:color w:val="666666"/>
                <w:sz w:val="17"/>
                <w:szCs w:val="17"/>
              </w:rPr>
            </w:r>
          </w:p>
        </w:tc>
      </w:tr>
      <w:tr>
        <w:trPr/>
        <w:tc>
          <w:tcPr>
            <w:tcW w:w="9638" w:type="dxa"/>
            <w:gridSpan w:val="3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tcMar>
              <w:start w:w="140" w:type="dxa"/>
              <w:end w:w="14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C · Netznamen (Schaltplan V2)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+5V_BOARD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Interne 5-V-Versorgung nach Verpolschutz Q1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Schaltplan, alle Module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ADC_MEAS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Gefiltertes Messsignal am ADC-Eingang (nach R1+C8)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Schaltplan, Messpfad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DISCH_GATE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Digitales Steuersignal ATmega → Gate Q2 (Entladung ein/aus)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Schaltplan, Firmware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GND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Masse / 0-V-Bezugspotenzial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Alle Module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I2C_SCL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I²C Taktleitung (ATmega PC5 → J2/OLED)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Schaltplan, OLED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I2C_SDA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I²C Datenleitung (ATmega PC4 → J2/OLED)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Schaltplan, OLED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LED_ERR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Fehler-LED-Signal (rote LED D2, ATmega PD3)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Schaltplan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LED_PWR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Betriebs-LED-Signal (grüne LED D1, ATmega PD2)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Schaltplan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LM317_OUT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Ausgang des LM317 (Konstantstrom-Ausgangspunkt)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Schaltplan, JTP4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MEAS_NODE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Messknoten = DUT+ = Ladepunkt = Entladepunkt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Schaltplan, alle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MISO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Master In Slave Out – ISP-Datenleitung (ATmega → Programmer)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J4, ISP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MOSI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Master Out Slave In – ISP-Datenleitung (Programmer → ATmega)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J4, ISP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RESET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Reset-Signal ATmega (aktiv LOW, ISP-Programmierung)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J4, ISP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SCK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Serial Clock – ISP-Taktsignal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J4, ISP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START_BTN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Start-Taster-Signal (ATmega PC2, Pull-Up R10)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Schaltplan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USB_5V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5-V-Versorgung direkt von USB VBUS (vor Verpolschutz Q1)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Schaltplan, JTP1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VBUS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USB-Versorgungsleitung (Standard USB-Bezeichnung, 5 V)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J1, USB</w:t>
            </w:r>
          </w:p>
        </w:tc>
      </w:tr>
      <w:tr>
        <w:trPr/>
        <w:tc>
          <w:tcPr>
            <w:tcW w:w="9638" w:type="dxa"/>
            <w:gridSpan w:val="3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tcMar>
              <w:start w:w="140" w:type="dxa"/>
              <w:end w:w="14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D · Kommunikation / Protokolle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I²C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Inter-Integrated Circuit – 2-Leiter-Seriellbus (SDA + SCL) für OLED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J2, Firmware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ISP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In-System Programming – Firmware-Programmierung im eingebauten Zustand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J4, avrdude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OLED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Organic Light Emitting Diode – hier: 0,96"-Display SSD1306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J2, Firmware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SSD1306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Controller-IC des OLED-Displays (I²C-Adresse 0x3C)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J2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UART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Universal Asynchronous Receiver/Transmitter – seriell (hier nicht genutzt)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Nicht implementiert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USB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Universal Serial Bus – hier: Versorgungseingang 5 V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J1</w:t>
            </w:r>
          </w:p>
        </w:tc>
      </w:tr>
      <w:tr>
        <w:trPr/>
        <w:tc>
          <w:tcPr>
            <w:tcW w:w="9638" w:type="dxa"/>
            <w:gridSpan w:val="3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tcMar>
              <w:start w:w="140" w:type="dxa"/>
              <w:end w:w="14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E · Qualität / Normen / Protokolle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ANP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Abnahmeprotokoll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Bewertung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IBP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Inbetriebnahmeprotokoll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Bewertung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IPC-A-610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Norm für Lötqualität: Kl. 1=Consumer, Kl. 2=Industrie, Kl. 3=High-Rel.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Lötprotokoll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LMP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Löt- und Montageprotokoll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Durchführung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MP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Messprotokoll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Bewertung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NA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Not Applicable – nicht zutreffend (Prüfpunkt entfällt)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Alle Protokolle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NOK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Not OK – Kriterium nicht erfüllt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Alle Protokolle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OK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Kriterium erfüllt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Alle Protokolle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PAO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Projektantrag/Auftrag-Objekt (IHK-Antragsformular)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Deckblatt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SELV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Safety Extra Low Voltage – Schutzkleinspannung ≤ 50 V DC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Protokolle, SK III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SK I/II/III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Schutzklasse I (PE), II (Doppeliso.), III (SELV)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Protokolle</w:t>
            </w:r>
          </w:p>
        </w:tc>
      </w:tr>
      <w:tr>
        <w:trPr/>
        <w:tc>
          <w:tcPr>
            <w:tcW w:w="9638" w:type="dxa"/>
            <w:gridSpan w:val="3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tcMar>
              <w:start w:w="140" w:type="dxa"/>
              <w:end w:w="14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F · Bauteile (Referenzbezeichnungen V2)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C1–C5, C8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Abblockkondensatoren SMD 0805 (100 nF) und Entpreller (10 nF)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Schaltplan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C6, C7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Quarz-Lastkondensatoren THT 22 pF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Y1 / Taktgenerator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D1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LED grün 5 mm – Betriebsanzeige (LED_PWR)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Schaltplan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D2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LED rot 5 mm – Fehleranzeige (LED_ERR)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Schaltplan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J1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USB Micro-B Buchse (Molex 47346-0001) – Versorgungseingang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Schaltplan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J2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4-poliger PinHeader P2.54 – OLED-Anschluss (GND/VCC/SCL/SDA)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Schaltplan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J3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Schraubklemme Phoenix MKDS P5.08 – DUT-Anschluss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Schaltplan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J4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AVR-ISP-6 Header 2×3 P2.54 – ISP-Programmierung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Schaltplan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JTP1–10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Testpunkte 1×1 P2.54 (USB5V/5VBOARD/SDA/LM317IN/GND/ADC/AVCC/RESET/MEAS/DISCH)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Schaltplan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Q1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IRLML6402 – PMOS Verpolschutz (SOT-23)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Schaltplan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Q2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2N7002 – NMOS Entladeschalter (SOT-23)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Schaltplan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R1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 xml:space="preserve">1 kΩ </w:t>
            </w:r>
            <w:r>
              <w:rPr/>
              <w:t>SMD</w:t>
            </w:r>
            <w:r>
              <w:rPr/>
              <w:t xml:space="preserve"> – </w:t>
            </w:r>
            <w:r>
              <w:rPr>
                <w:rStyle w:val="Emphasis"/>
              </w:rPr>
              <w:t>ADC ESD-Schutz</w:t>
            </w:r>
            <w:r>
              <w:rPr/>
              <w:t xml:space="preserve">  (in Serie)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Schaltplan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R2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1 MΩ MELF – Gate-Teiler Q1 (nach +5V) – V2-Änderung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Schaltplan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R3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100 kΩ MELF – Gate-Teiler Q1 (nach GND)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Schaltplan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R4, R5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4,7 kΩ 0805 – I²C Pull-Up SDA/SCL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Schaltplan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R6, R7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330 Ω MELF – LED-Vorwiderstände D2/D1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Schaltplan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R8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1,2 kΩ THT – LM317 Setwiderstand (I = 1,042 mA)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Schaltplan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R9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100 kΩ THT – Gate-Pull-Down Q2 (DISCH_GATE LOW im Ruhezustand)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Schaltplan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R10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10 kΩ THT – START_BTN Pull-Up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Schaltplan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R20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470 Ω 0805 – Entlade-Schutzwiderstand Q2-Drain – V2-Neu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Schaltplan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SW1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Taster 6×6 mm H5 mm – Start-Taster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Schaltplan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U1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ATmega328P-AU TQFP-32 – Mikrocontroller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Schaltplan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U2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LM317L SOT-89 – Konstantstromquelle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Schaltplan</w:t>
            </w:r>
          </w:p>
        </w:tc>
      </w:tr>
      <w:tr>
        <w:trPr/>
        <w:tc>
          <w:tcPr>
            <w:tcW w:w="145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</w:rPr>
              <w:t>Y1</w:t>
            </w:r>
          </w:p>
        </w:tc>
        <w:tc>
          <w:tcPr>
            <w:tcW w:w="6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/>
              <w:t>16-MHz-Quarz HC-49/U – Taktgenerator</w:t>
            </w:r>
          </w:p>
        </w:tc>
        <w:tc>
          <w:tcPr>
            <w:tcW w:w="15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</w:tcPr>
          <w:p>
            <w:pPr>
              <w:pStyle w:val="Normal"/>
              <w:rPr/>
            </w:pPr>
            <w:r>
              <w:rPr>
                <w:color w:val="666666"/>
                <w:sz w:val="17"/>
                <w:szCs w:val="17"/>
              </w:rPr>
              <w:t>Schaltplan</w:t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p>
      <w:pPr>
        <w:pStyle w:val="Normal"/>
        <w:pBdr>
          <w:top w:val="single" w:sz="4" w:space="1" w:color="AAAAAA"/>
        </w:pBdr>
        <w:spacing w:before="80" w:after="0"/>
        <w:jc w:val="end"/>
        <w:rPr/>
      </w:pPr>
      <w:r>
        <w:rPr>
          <w:color w:val="888888"/>
          <w:sz w:val="16"/>
          <w:szCs w:val="16"/>
        </w:rPr>
        <w:t>KapTester V2  ·  Abkürzungsverzeichnis  ·  Nico Schmidt  ·  AP2 2026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19"/>
        <w:szCs w:val="19"/>
        <w:lang w:val="de-DE" w:eastAsia="de-DE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19"/>
      <w:szCs w:val="19"/>
      <w:lang w:val="de-DE" w:eastAsia="de-DE" w:bidi="ar-SA"/>
    </w:rPr>
  </w:style>
  <w:style w:type="paragraph" w:styleId="Heading1">
    <w:name w:val="heading 1"/>
    <w:uiPriority w:val="9"/>
    <w:qFormat/>
    <w:pPr>
      <w:widowControl/>
      <w:bidi w:val="0"/>
      <w:spacing w:before="0" w:after="0"/>
      <w:jc w:val="start"/>
      <w:outlineLvl w:val="0"/>
    </w:pPr>
    <w:rPr>
      <w:rFonts w:ascii="Arial" w:hAnsi="Arial" w:eastAsia="Arial" w:cs="Arial"/>
      <w:color w:val="2E74B5"/>
      <w:kern w:val="0"/>
      <w:sz w:val="32"/>
      <w:szCs w:val="32"/>
      <w:lang w:val="de-DE" w:eastAsia="de-DE" w:bidi="ar-SA"/>
    </w:rPr>
  </w:style>
  <w:style w:type="paragraph" w:styleId="Heading2">
    <w:name w:val="heading 2"/>
    <w:uiPriority w:val="9"/>
    <w:semiHidden/>
    <w:unhideWhenUsed/>
    <w:qFormat/>
    <w:pPr>
      <w:widowControl/>
      <w:bidi w:val="0"/>
      <w:spacing w:before="0" w:after="0"/>
      <w:jc w:val="start"/>
      <w:outlineLvl w:val="1"/>
    </w:pPr>
    <w:rPr>
      <w:rFonts w:ascii="Arial" w:hAnsi="Arial" w:eastAsia="Arial" w:cs="Arial"/>
      <w:color w:val="2E74B5"/>
      <w:kern w:val="0"/>
      <w:sz w:val="26"/>
      <w:szCs w:val="26"/>
      <w:lang w:val="de-DE" w:eastAsia="de-DE" w:bidi="ar-SA"/>
    </w:rPr>
  </w:style>
  <w:style w:type="paragraph" w:styleId="Heading3">
    <w:name w:val="heading 3"/>
    <w:uiPriority w:val="9"/>
    <w:semiHidden/>
    <w:unhideWhenUsed/>
    <w:qFormat/>
    <w:pPr>
      <w:widowControl/>
      <w:bidi w:val="0"/>
      <w:spacing w:before="0" w:after="0"/>
      <w:jc w:val="start"/>
      <w:outlineLvl w:val="2"/>
    </w:pPr>
    <w:rPr>
      <w:rFonts w:ascii="Arial" w:hAnsi="Arial" w:eastAsia="Arial" w:cs="Arial"/>
      <w:color w:val="1F4D78"/>
      <w:kern w:val="0"/>
      <w:sz w:val="24"/>
      <w:szCs w:val="24"/>
      <w:lang w:val="de-DE" w:eastAsia="de-DE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start"/>
      <w:outlineLvl w:val="3"/>
    </w:pPr>
    <w:rPr>
      <w:rFonts w:ascii="Arial" w:hAnsi="Arial" w:eastAsia="Arial" w:cs="Arial"/>
      <w:i/>
      <w:iCs/>
      <w:color w:val="2E74B5"/>
      <w:kern w:val="0"/>
      <w:sz w:val="19"/>
      <w:szCs w:val="19"/>
      <w:lang w:val="de-DE" w:eastAsia="de-DE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start"/>
      <w:outlineLvl w:val="4"/>
    </w:pPr>
    <w:rPr>
      <w:rFonts w:ascii="Arial" w:hAnsi="Arial" w:eastAsia="Arial" w:cs="Arial"/>
      <w:color w:val="2E74B5"/>
      <w:kern w:val="0"/>
      <w:sz w:val="19"/>
      <w:szCs w:val="19"/>
      <w:lang w:val="de-DE" w:eastAsia="de-DE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start"/>
      <w:outlineLvl w:val="5"/>
    </w:pPr>
    <w:rPr>
      <w:rFonts w:ascii="Arial" w:hAnsi="Arial" w:eastAsia="Arial" w:cs="Arial"/>
      <w:color w:val="1F4D78"/>
      <w:kern w:val="0"/>
      <w:sz w:val="19"/>
      <w:szCs w:val="19"/>
      <w:lang w:val="de-DE" w:eastAsia="de-DE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ußnotenzeichen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unotentextZchn" w:customStyle="1">
    <w:name w:val="Fußnotentext Zchn"/>
    <w:uiPriority w:val="99"/>
    <w:semiHidden/>
    <w:unhideWhenUsed/>
    <w:qFormat/>
    <w:rPr>
      <w:sz w:val="20"/>
      <w:szCs w:val="20"/>
    </w:rPr>
  </w:style>
  <w:style w:type="character" w:styleId="Endnotenzeichen">
    <w:name w:val="Endnotenzeiche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ntextZchn" w:customStyle="1">
    <w:name w:val="Endnotentext Zchn"/>
    <w:link w:val="EndnoteText"/>
    <w:uiPriority w:val="99"/>
    <w:semiHidden/>
    <w:unhideWhenUsed/>
    <w:qFormat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907593"/>
    <w:rPr>
      <w:sz w:val="16"/>
      <w:szCs w:val="16"/>
    </w:rPr>
  </w:style>
  <w:style w:type="character" w:styleId="KommentartextZchn" w:customStyle="1">
    <w:name w:val="Kommentartext Zchn"/>
    <w:basedOn w:val="DefaultParagraphFont"/>
    <w:uiPriority w:val="99"/>
    <w:semiHidden/>
    <w:qFormat/>
    <w:rsid w:val="00907593"/>
    <w:rPr>
      <w:sz w:val="20"/>
      <w:szCs w:val="20"/>
    </w:rPr>
  </w:style>
  <w:style w:type="character" w:styleId="KommentarthemaZchn" w:customStyle="1">
    <w:name w:val="Kommentarthema Zchn"/>
    <w:basedOn w:val="KommentartextZchn"/>
    <w:link w:val="annotationsubject"/>
    <w:uiPriority w:val="99"/>
    <w:semiHidden/>
    <w:qFormat/>
    <w:rsid w:val="00907593"/>
    <w:rPr>
      <w:b/>
      <w:bCs/>
      <w:sz w:val="20"/>
      <w:szCs w:val="20"/>
    </w:rPr>
  </w:style>
  <w:style w:type="character" w:styleId="Emphasis">
    <w:name w:val="Emphasis"/>
    <w:qFormat/>
    <w:rPr>
      <w:i/>
      <w:iCs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Arial"/>
    </w:rPr>
  </w:style>
  <w:style w:type="paragraph" w:styleId="Title">
    <w:name w:val="Title"/>
    <w:uiPriority w:val="10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56"/>
      <w:szCs w:val="56"/>
      <w:lang w:val="de-DE" w:eastAsia="de-DE" w:bidi="ar-SA"/>
    </w:rPr>
  </w:style>
  <w:style w:type="paragraph" w:styleId="Fett1" w:customStyle="1">
    <w:name w:val="Fett1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19"/>
      <w:szCs w:val="19"/>
      <w:lang w:val="de-DE" w:eastAsia="de-DE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19"/>
      <w:szCs w:val="19"/>
      <w:lang w:val="de-DE" w:eastAsia="de-DE" w:bidi="ar-SA"/>
    </w:rPr>
  </w:style>
  <w:style w:type="paragraph" w:styleId="FootnoteText">
    <w:name w:val="footnote text"/>
    <w:link w:val="FunotentextZchn"/>
    <w:uiPriority w:val="99"/>
    <w:semiHidden/>
    <w:unhideWhenUsed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de-DE" w:eastAsia="de-DE" w:bidi="ar-SA"/>
    </w:rPr>
  </w:style>
  <w:style w:type="paragraph" w:styleId="EndnoteText">
    <w:name w:val="endnote text"/>
    <w:link w:val="EndnotentextZchn"/>
    <w:uiPriority w:val="99"/>
    <w:semiHidden/>
    <w:unhideWhenUsed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de-DE" w:eastAsia="de-DE" w:bidi="ar-SA"/>
    </w:rPr>
  </w:style>
  <w:style w:type="paragraph" w:styleId="CommentText">
    <w:name w:val="annotation text"/>
    <w:basedOn w:val="Normal"/>
    <w:link w:val="KommentartextZchn"/>
    <w:uiPriority w:val="99"/>
    <w:semiHidden/>
    <w:unhideWhenUsed/>
    <w:rsid w:val="00907593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KommentarthemaZchn"/>
    <w:uiPriority w:val="99"/>
    <w:semiHidden/>
    <w:unhideWhenUsed/>
    <w:qFormat/>
    <w:rsid w:val="00907593"/>
    <w:pPr/>
    <w:rPr>
      <w:b/>
      <w:bCs/>
    </w:rPr>
  </w:style>
  <w:style w:type="numbering" w:styleId="KeineListe" w:default="1">
    <w:name w:val="Keine Liste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LibreOffice/25.8.6.2$Windows_X86_64 LibreOffice_project/b4b39682cd9868fa725bc664aff94278d315bd04</Application>
  <AppVersion>15.0000</AppVersion>
  <Pages>3</Pages>
  <Words>751</Words>
  <Characters>5088</Characters>
  <CharactersWithSpaces>5630</CharactersWithSpaces>
  <Paragraphs>256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2026-04-26T13:34:00Z</dcterms:created>
  <dc:creator>Un-named</dc:creator>
  <dc:description/>
  <dc:language>de-DE</dc:language>
  <cp:lastModifiedBy/>
  <dcterms:modified xsi:type="dcterms:W3CDTF">2026-05-23T19:00:58Z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