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Bauteilauswahl – Entscheidung &amp; Begründung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Planung  │  AP2 2026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0" w:after="70"/>
        <w:rPr/>
      </w:pPr>
      <w:r>
        <w:rPr>
          <w:sz w:val="20"/>
          <w:szCs w:val="20"/>
        </w:rPr>
        <w:t>Für das Projekt wird ein Hybrid-Layout (THT/SMD) festgelegt, das handlötbar, mechanisch robust und messstabil ist. Ab diesem Punkt werden Footprints nicht mehr geändert, außer bei zwingenden Verfügbarkeits- oder Kollisionsproblemen.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70"/>
        <w:rPr/>
      </w:pPr>
      <w:r>
        <w:rPr>
          <w:b/>
          <w:bCs/>
          <w:color w:val="1F4E79"/>
          <w:sz w:val="24"/>
          <w:szCs w:val="24"/>
        </w:rPr>
        <w:t>1   Designprinzip: THT/SMD-Hybrid</w:t>
      </w:r>
    </w:p>
    <w:p>
      <w:pPr>
        <w:pStyle w:val="Normal"/>
        <w:spacing w:lineRule="auto" w:line="360" w:before="0" w:after="70"/>
        <w:rPr/>
      </w:pPr>
      <w:r>
        <w:rPr>
          <w:sz w:val="20"/>
          <w:szCs w:val="20"/>
        </w:rPr>
        <w:t>THT wird dort eingesetzt, wo mechanische Belastbarkeit und Handlötbarkeit im Vordergrund stehen – also bei Steckverbindern, Bedienelementen u</w:t>
      </w:r>
      <w:bookmarkStart w:id="0" w:name="_GoBack"/>
      <w:bookmarkEnd w:id="0"/>
      <w:r>
        <w:rPr>
          <w:sz w:val="20"/>
          <w:szCs w:val="20"/>
        </w:rPr>
        <w:t>nd Bauteilen die oft berührt werden. SMD wird gezielt dort eingesetzt, wo kurze Leitungswege die Messqualität verbessern, insbesondere im ADC-Umfeld und bei den Abblockkondensatoren direkt an den MCU-Versorgungspins.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70"/>
        <w:rPr/>
      </w:pPr>
      <w:r>
        <w:rPr>
          <w:b/>
          <w:bCs/>
          <w:color w:val="1F4E79"/>
          <w:sz w:val="24"/>
          <w:szCs w:val="24"/>
        </w:rPr>
        <w:t>2   Bauteilentscheidungen nach Baugruppe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873"/>
        <w:gridCol w:w="2173"/>
        <w:gridCol w:w="1734"/>
        <w:gridCol w:w="1476"/>
        <w:gridCol w:w="3382"/>
      </w:tblGrid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Ref.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Funktion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Bauteil / Typ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Gehäuse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Begründung der Wahl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Aktive Bauteile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U1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Mikrocontroller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ATmega328P-AU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TQFP-32 7×7mm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Bekannte Plattform, ADC + Timer intern, ISP-programmierbar, gut dokumentiert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U2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Konstantstromquelle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LM317L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SOT-89-3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Kompakt, stabil, liefert präzise 1,042 mA über R8=1,2kΩ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Q1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Verpolschutz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IRLML6402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SOT-23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PMOS, R_DS(on) &lt; 65 mΩ, geringe Verluste, VGS = −4,5 V mit 1MΩ/100kΩ-Teiler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Q2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Entladepfad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2N7002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SOT-23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NMOS, geringe Verluste, bewährt, Gate-Pull-Down R9 verhindert ungewolltes Einschalten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Y1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Taktgenerator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16 MHz HC-49/U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vertikal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Standard, passt zur ATmega-Fuse-Konfiguration LFUSE=0xFF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Steckverbinder / Mechanik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J1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USB-Versorgung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Molex 47346-0001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USB Micro-B THT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4 THT-Lötanker, mechanisch stabil gegen Kabelzug, belasteter Anschluss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J2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OLED-Anschluss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PinHeader 1×4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P2.54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Standardraster, steckbar, servicefreundlich, klare Pinbeschriftung möglich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J3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DUT-Anschluss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Phoenix MKDS-1,5-2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P5.08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Robuster Industriestandard, sicherer Kontakt für Großelkos im Werkstattbetrieb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J4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ISP-Programmierung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PinHeader 2×3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P2.54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Standardraster für USBasp, gut steckbar, Pin-1-Markierung auf Silkscreen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SW1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Start-Taster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6×6 mm Taster H5mm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Standard, robust, gut bedienbar ohne Gehäuse, mechanisch stabil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D1/D2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LEDs Betrieb/Fehler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LED 5 mm grün/rot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Hohe Sichtbarkeit bei Vorführung/Prüfung, robuste Bauform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</w:rPr>
            </w:pPr>
            <w:r>
              <w:rPr>
                <w:color w:val="111111"/>
              </w:rPr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444444"/>
                <w:sz w:val="17"/>
                <w:szCs w:val="17"/>
              </w:rPr>
            </w:pPr>
            <w:r>
              <w:rPr>
                <w:color w:val="444444"/>
                <w:sz w:val="17"/>
                <w:szCs w:val="17"/>
              </w:rPr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</w:rPr>
            </w:pPr>
            <w:r>
              <w:rPr>
                <w:color w:val="111111"/>
              </w:rPr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b/>
                <w:bCs/>
                <w:color w:val="111111"/>
              </w:rPr>
            </w:pPr>
            <w:r>
              <w:rPr>
                <w:b/>
                <w:bCs/>
                <w:color w:val="111111"/>
              </w:rPr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444444"/>
                <w:sz w:val="17"/>
                <w:szCs w:val="17"/>
              </w:rPr>
            </w:pPr>
            <w:r>
              <w:rPr>
                <w:color w:val="444444"/>
                <w:sz w:val="17"/>
                <w:szCs w:val="17"/>
              </w:rPr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Widerstände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R1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>
                <w:color w:val="111111"/>
              </w:rPr>
            </w:pPr>
            <w:r>
              <w:rPr>
                <w:color w:val="111111"/>
              </w:rPr>
              <w:t xml:space="preserve">ADC ESD-Schutz 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 kΩ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In Serie vor ADC, kurzer Weg, THT austauschbar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R2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Gate-Teiler Q1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D4700A"/>
              </w:rPr>
              <w:t>1 MΩ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MELF MMB-0207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8B4000"/>
                <w:sz w:val="17"/>
                <w:szCs w:val="17"/>
              </w:rPr>
              <w:t>V2: 1MΩ statt 100kΩ → VGS = −4,5V, robusteres Einschalten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R3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Gate-Teiler Q1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100 kΩ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MELF MMB-0207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Mit R2: V_Gate ≈ 0,45V → VGS ≈ −4,55V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R4/R5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I²C Pull-Up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4,7 kΩ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I²C-Bus Pull-Up SDA/SCL → kurze Wege zum ATmega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R6/R7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LED-Vorwiderstände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330 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MELF MMB-0207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I_LED = (5V−2V)/330Ω ≈ 9mA, gut sichtbar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R8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LM317 Setwiderstand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1,2 kΩ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 = 1,25V/1200Ω = 1,042mA, THT für einfachen Austausch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R9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Gate-Pull-Down Q2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100 kΩ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Hält DISCH_GATE bei tristatetem ATmega sicher LOW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R10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START_BTN Pull-Up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10 kΩ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Definierter HIGH-Pegel an PC2, extern robuster als interner Pull-Up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R20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Entlade-Schutz Q2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D4700A"/>
              </w:rPr>
              <w:t>470 Ω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8B4000"/>
                <w:sz w:val="17"/>
                <w:szCs w:val="17"/>
              </w:rPr>
              <w:t>V2-Neu: Strombegrenzer Q2-Drain, schützt Q2 bei Großelkos</w:t>
            </w:r>
          </w:p>
        </w:tc>
      </w:tr>
      <w:tr>
        <w:trPr/>
        <w:tc>
          <w:tcPr>
            <w:tcW w:w="9638" w:type="dxa"/>
            <w:gridSpan w:val="5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Kondensatoren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C1–C5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VCC-Abblockkondensatoren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100 nF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Direkt an MCU-Versorgungspins → kürzeste Wege → beste Entkopplung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C6/C7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Quarz-Lastkondensatoren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22 pF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Disc P2.50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Beide direkt an XTAL1/XTAL2, kurze GND-Verbindung</w:t>
            </w:r>
          </w:p>
        </w:tc>
      </w:tr>
      <w:tr>
        <w:trPr/>
        <w:tc>
          <w:tcPr>
            <w:tcW w:w="8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C8</w:t>
            </w:r>
          </w:p>
        </w:tc>
        <w:tc>
          <w:tcPr>
            <w:tcW w:w="217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SW1-Entpreller</w:t>
            </w:r>
          </w:p>
        </w:tc>
        <w:tc>
          <w:tcPr>
            <w:tcW w:w="1734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10 nF</w:t>
            </w:r>
          </w:p>
        </w:tc>
        <w:tc>
          <w:tcPr>
            <w:tcW w:w="147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338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5" w:type="dxa"/>
              <w:bottom w:w="65" w:type="dxa"/>
            </w:tcMar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Parallel zu SW1, filtert Prellimpulse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70"/>
        <w:rPr/>
      </w:pPr>
      <w:r>
        <w:rPr>
          <w:b/>
          <w:bCs/>
          <w:color w:val="1F4E79"/>
          <w:sz w:val="24"/>
          <w:szCs w:val="24"/>
        </w:rPr>
        <w:t>3   Footprint-Freeze – Warum?</w:t>
      </w:r>
    </w:p>
    <w:p>
      <w:pPr>
        <w:pStyle w:val="Normal"/>
        <w:spacing w:lineRule="auto" w:line="319" w:before="0" w:after="30"/>
        <w:ind w:start="360"/>
        <w:rPr/>
      </w:pPr>
      <w:r>
        <w:rPr>
          <w:sz w:val="20"/>
          <w:szCs w:val="20"/>
        </w:rPr>
        <w:t>· Verhindert mechanische Fehlpassung (USB/Taster/Klemme/Header) und Layout-Rework kurz vor Bestellung</w:t>
      </w:r>
    </w:p>
    <w:p>
      <w:pPr>
        <w:pStyle w:val="Normal"/>
        <w:spacing w:lineRule="auto" w:line="319" w:before="0" w:after="30"/>
        <w:ind w:start="360"/>
        <w:rPr/>
      </w:pPr>
      <w:r>
        <w:rPr>
          <w:sz w:val="20"/>
          <w:szCs w:val="20"/>
        </w:rPr>
        <w:t>· Macht BOM, Layout und Beschaffung konsistent</w:t>
      </w:r>
    </w:p>
    <w:p>
      <w:pPr>
        <w:pStyle w:val="Normal"/>
        <w:spacing w:lineRule="auto" w:line="319" w:before="0" w:after="30"/>
        <w:ind w:start="360"/>
        <w:rPr/>
      </w:pPr>
      <w:r>
        <w:rPr>
          <w:sz w:val="20"/>
          <w:szCs w:val="20"/>
        </w:rPr>
        <w:t>· Reduziert Risiko von Kollisionen und Gerber-Fehlern</w:t>
      </w:r>
    </w:p>
    <w:p>
      <w:pPr>
        <w:pStyle w:val="Normal"/>
        <w:spacing w:lineRule="auto" w:line="319" w:before="0" w:after="30"/>
        <w:ind w:start="360"/>
        <w:rPr/>
      </w:pPr>
      <w:r>
        <w:rPr>
          <w:sz w:val="20"/>
          <w:szCs w:val="20"/>
        </w:rPr>
        <w:t>· V2-Lektion: Der DIP-28/TQFP-32-Fehler in V1 war ein Symbol-Problem – Footprint war korrekt. Trotzdem gilt: Symbol + Footprint + Datenblatt immer zusammen prüfen, bevor bestellt wird.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Bauteilauswahl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LibreOffice/25.8.6.2$Windows_X86_64 LibreOffice_project/b4b39682cd9868fa725bc664aff94278d315bd04</Application>
  <AppVersion>15.0000</AppVersion>
  <Pages>2</Pages>
  <Words>504</Words>
  <Characters>3184</Characters>
  <CharactersWithSpaces>3568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Un-named</dc:creator>
  <dc:description/>
  <dc:language>de-DE</dc:language>
  <cp:lastModifiedBy/>
  <dcterms:modified xsi:type="dcterms:W3CDTF">2026-05-23T19:01:51Z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