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start"/>
        <w:tblInd w:w="0" w:type="dxa"/>
        <w:tblLayout w:type="fixed"/>
        <w:tblCellMar>
          <w:top w:w="160" w:type="dxa"/>
          <w:start w:w="240" w:type="dxa"/>
          <w:bottom w:w="160" w:type="dxa"/>
          <w:end w:w="240" w:type="dxa"/>
        </w:tblCellMar>
        <w:tblLook w:firstRow="1" w:noVBand="1" w:lastRow="0" w:firstColumn="1" w:lastColumn="0" w:noHBand="0" w:val="04a0"/>
      </w:tblPr>
      <w:tblGrid>
        <w:gridCol w:w="9638"/>
      </w:tblGrid>
      <w:tr>
        <w:trPr/>
        <w:tc>
          <w:tcPr>
            <w:tcW w:w="9638" w:type="dxa"/>
            <w:tcBorders/>
            <w:shd w:color="auto" w:fill="1F4E79" w:val="clear"/>
          </w:tcPr>
          <w:p>
            <w:pPr>
              <w:pStyle w:val="Normal"/>
              <w:jc w:val="center"/>
              <w:rPr/>
            </w:pPr>
            <w:r>
              <w:rPr>
                <w:b/>
                <w:bCs/>
                <w:color w:val="FFFFFF"/>
                <w:sz w:val="30"/>
                <w:szCs w:val="30"/>
              </w:rPr>
              <w:t>Fazit und Selbsteinschätzung</w:t>
            </w:r>
          </w:p>
          <w:p>
            <w:pPr>
              <w:pStyle w:val="Normal"/>
              <w:jc w:val="center"/>
              <w:rPr/>
            </w:pPr>
            <w:r>
              <w:rPr>
                <w:color w:val="BDD7EE"/>
              </w:rPr>
              <w:t>KapTester V2  │  Bewertung  │  AP2 2026  │  Nico Schmidt</w:t>
            </w:r>
          </w:p>
        </w:tc>
      </w:tr>
    </w:tbl>
    <w:p>
      <w:pPr>
        <w:pStyle w:val="Normal"/>
        <w:spacing w:before="80" w:after="0"/>
        <w:rPr/>
      </w:pPr>
      <w:r>
        <w:rPr/>
      </w:r>
    </w:p>
    <w:p>
      <w:pPr>
        <w:pStyle w:val="Normal"/>
        <w:spacing w:lineRule="auto" w:line="360" w:before="0" w:after="70"/>
        <w:rPr/>
      </w:pPr>
      <w:r>
        <w:rPr/>
        <w:t>Der folgende Abschnitt bewertet den betrieblichen Auftrag aus persönlicher Sicht: Was wurde erreicht, was lief gut, was hätte besser laufen können und was wurde dabei gelernt.</w:t>
      </w:r>
    </w:p>
    <w:p>
      <w:pPr>
        <w:pStyle w:val="Normal"/>
        <w:spacing w:before="60" w:after="0"/>
        <w:rPr/>
      </w:pPr>
      <w:r>
        <w:rPr/>
      </w:r>
    </w:p>
    <w:p>
      <w:pPr>
        <w:pStyle w:val="Normal"/>
        <w:pBdr>
          <w:bottom w:val="single" w:sz="6" w:space="1" w:color="2E75B6"/>
        </w:pBdr>
        <w:rPr/>
      </w:pPr>
      <w:r>
        <w:rPr/>
      </w:r>
    </w:p>
    <w:p>
      <w:pPr>
        <w:pStyle w:val="Normal"/>
        <w:spacing w:before="180" w:after="70"/>
        <w:rPr/>
      </w:pPr>
      <w:r>
        <w:rPr>
          <w:b/>
          <w:bCs/>
          <w:color w:val="1F4E79"/>
          <w:sz w:val="24"/>
          <w:szCs w:val="24"/>
        </w:rPr>
        <w:t>1   Zielerreichung</w:t>
      </w:r>
    </w:p>
    <w:p>
      <w:pPr>
        <w:pStyle w:val="Normal"/>
        <w:spacing w:lineRule="auto" w:line="360" w:before="0" w:after="70"/>
        <w:rPr/>
      </w:pPr>
      <w:r>
        <w:rPr/>
        <w:t>Das übergeordnete Ziel – einen funktionsfähigen Kapazitätstester für den Ausbildungsbetrieb zu entwickeln – ist zum Zeitpunkt der Dokumentationsabgabe weitgehend erreicht. Die Hardware-Entwicklung (Schaltplan V2, PCB V2, Bestellung) ist abgeschlossen. Die Platine wurde bestückt, gelötet und in Betrieb genommen. Die Firmware (FW3, kaptesterfw3_v11.hex) ist implementiert und läuft stabil. Ausstehend ist die abschließende Messung mit Referenzkondensatoren.</w:t>
      </w:r>
    </w:p>
    <w:p>
      <w:pPr>
        <w:pStyle w:val="Normal"/>
        <w:spacing w:lineRule="auto" w:line="360" w:before="0" w:after="70"/>
        <w:rPr/>
      </w:pPr>
      <w:r>
        <w:rPr/>
        <w:t>Ich bin mit dem bisherigen Stand zufrieden. Alle MUSS-Anforderungen des Lastenhefts sind im Design umgesetzt und werden durch die Inbetriebnahme- und Messtests nachgewiesen. Ob das Gerät am Ende vollständig die ±20%-Genauigkeit über den gesamten Bereich einhält, hängt noch vom Firmware-Test ab – das Messprinzip ist jedoch theoretisch und durch die Schaltungsauslegung korrekt.</w:t>
      </w:r>
    </w:p>
    <w:p>
      <w:pPr>
        <w:pStyle w:val="Normal"/>
        <w:spacing w:before="40" w:after="0"/>
        <w:rPr/>
      </w:pPr>
      <w:r>
        <w:rPr/>
      </w:r>
    </w:p>
    <w:p>
      <w:pPr>
        <w:pStyle w:val="Normal"/>
        <w:pBdr>
          <w:bottom w:val="single" w:sz="6" w:space="1" w:color="2E75B6"/>
        </w:pBdr>
        <w:rPr/>
      </w:pPr>
      <w:r>
        <w:rPr/>
      </w:r>
    </w:p>
    <w:p>
      <w:pPr>
        <w:pStyle w:val="Normal"/>
        <w:spacing w:before="180" w:after="70"/>
        <w:rPr/>
      </w:pPr>
      <w:r>
        <w:rPr>
          <w:b/>
          <w:bCs/>
          <w:color w:val="1F4E79"/>
          <w:sz w:val="24"/>
          <w:szCs w:val="24"/>
        </w:rPr>
        <w:t>2   Was gut lief</w:t>
      </w:r>
    </w:p>
    <w:tbl>
      <w:tblPr>
        <w:tblW w:w="9638" w:type="dxa"/>
        <w:jc w:val="start"/>
        <w:tblInd w:w="0" w:type="dxa"/>
        <w:tblLayout w:type="fixed"/>
        <w:tblCellMar>
          <w:top w:w="100" w:type="dxa"/>
          <w:start w:w="200" w:type="dxa"/>
          <w:bottom w:w="100" w:type="dxa"/>
          <w:end w:w="160" w:type="dxa"/>
        </w:tblCellMar>
        <w:tblLook w:firstRow="1" w:noVBand="1" w:lastRow="0" w:firstColumn="1" w:lastColumn="0" w:noHBand="0" w:val="04a0"/>
      </w:tblPr>
      <w:tblGrid>
        <w:gridCol w:w="9638"/>
      </w:tblGrid>
      <w:tr>
        <w:trPr/>
        <w:tc>
          <w:tcPr>
            <w:tcW w:w="9638" w:type="dxa"/>
            <w:tcBorders>
              <w:top w:val="single" w:sz="4" w:space="0" w:color="BBBBBB"/>
              <w:start w:val="single" w:sz="16" w:space="0" w:color="1E8449"/>
              <w:bottom w:val="single" w:sz="4" w:space="0" w:color="BBBBBB"/>
              <w:end w:val="single" w:sz="4" w:space="0" w:color="BBBBBB"/>
            </w:tcBorders>
            <w:shd w:color="auto" w:fill="E8F5E9" w:val="clear"/>
          </w:tcPr>
          <w:p>
            <w:pPr>
              <w:pStyle w:val="Normal"/>
              <w:spacing w:before="0" w:after="30"/>
              <w:rPr/>
            </w:pPr>
            <w:r>
              <w:rPr>
                <w:b/>
                <w:bCs/>
                <w:color w:val="1E8449"/>
                <w:sz w:val="22"/>
                <w:szCs w:val="22"/>
              </w:rPr>
              <w:t xml:space="preserve">✓  </w:t>
            </w:r>
            <w:r>
              <w:rPr>
                <w:b/>
                <w:bCs/>
                <w:color w:val="1E8449"/>
                <w:sz w:val="22"/>
                <w:szCs w:val="22"/>
              </w:rPr>
              <w:t>Motivation und Eigeninitiative</w:t>
            </w:r>
          </w:p>
          <w:p>
            <w:pPr>
              <w:pStyle w:val="Normal"/>
              <w:spacing w:lineRule="auto" w:line="360"/>
              <w:rPr/>
            </w:pPr>
            <w:r>
              <w:rPr/>
              <w:t>Die Idee, etwas Eigenes zu bauen das tatsächlich im Betrieb eingesetzt werden kann, hat die Motivation über das gesamte Projekt hoch gehalten. Auch wenn die Umsetzung insgesamt mehr Zeit gekostet hat als ursprünglich gedacht, war die Bereitschaft, tiefer einzusteigen, immer vorhanden.</w:t>
            </w:r>
          </w:p>
        </w:tc>
      </w:tr>
    </w:tbl>
    <w:p>
      <w:pPr>
        <w:pStyle w:val="Normal"/>
        <w:spacing w:before="50" w:after="0"/>
        <w:rPr/>
      </w:pPr>
      <w:r>
        <w:rPr/>
      </w:r>
    </w:p>
    <w:tbl>
      <w:tblPr>
        <w:tblW w:w="9638" w:type="dxa"/>
        <w:jc w:val="start"/>
        <w:tblInd w:w="0" w:type="dxa"/>
        <w:tblLayout w:type="fixed"/>
        <w:tblCellMar>
          <w:top w:w="100" w:type="dxa"/>
          <w:start w:w="200" w:type="dxa"/>
          <w:bottom w:w="100" w:type="dxa"/>
          <w:end w:w="160" w:type="dxa"/>
        </w:tblCellMar>
        <w:tblLook w:firstRow="1" w:noVBand="1" w:lastRow="0" w:firstColumn="1" w:lastColumn="0" w:noHBand="0" w:val="04a0"/>
      </w:tblPr>
      <w:tblGrid>
        <w:gridCol w:w="9638"/>
      </w:tblGrid>
      <w:tr>
        <w:trPr/>
        <w:tc>
          <w:tcPr>
            <w:tcW w:w="9638" w:type="dxa"/>
            <w:tcBorders>
              <w:top w:val="single" w:sz="4" w:space="0" w:color="BBBBBB"/>
              <w:start w:val="single" w:sz="16" w:space="0" w:color="1E8449"/>
              <w:bottom w:val="single" w:sz="4" w:space="0" w:color="BBBBBB"/>
              <w:end w:val="single" w:sz="4" w:space="0" w:color="BBBBBB"/>
            </w:tcBorders>
            <w:shd w:color="auto" w:fill="E8F5E9" w:val="clear"/>
          </w:tcPr>
          <w:p>
            <w:pPr>
              <w:pStyle w:val="Normal"/>
              <w:spacing w:before="0" w:after="30"/>
              <w:rPr/>
            </w:pPr>
            <w:r>
              <w:rPr>
                <w:b/>
                <w:bCs/>
                <w:color w:val="1E8449"/>
                <w:sz w:val="22"/>
                <w:szCs w:val="22"/>
              </w:rPr>
              <w:t xml:space="preserve">✓  </w:t>
            </w:r>
            <w:r>
              <w:rPr>
                <w:b/>
                <w:bCs/>
                <w:color w:val="1E8449"/>
                <w:sz w:val="22"/>
                <w:szCs w:val="22"/>
              </w:rPr>
              <w:t>Einstieg in KiCad und PCB-Fertigung</w:t>
            </w:r>
          </w:p>
          <w:p>
            <w:pPr>
              <w:pStyle w:val="Normal"/>
              <w:spacing w:lineRule="auto" w:line="360"/>
              <w:rPr/>
            </w:pPr>
            <w:r>
              <w:rPr/>
              <w:t>KiCad war zu Projektbeginn noch völlig neu. Der Weg vom ersten Symbol bis zur bestellbaren Gerber-Datei wurde komplett selbst erarbeitet. Ebenso der gesamte PCBWay-Bestellprozess mit Dimensionen, Schichtzahl, Oberflächenbehandlung und Gerber-Kontrolle. Das ist ein Werkzeug, das ich jetzt wirklich kann.</w:t>
            </w:r>
          </w:p>
        </w:tc>
      </w:tr>
    </w:tbl>
    <w:p>
      <w:pPr>
        <w:pStyle w:val="Normal"/>
        <w:spacing w:before="50" w:after="0"/>
        <w:rPr/>
      </w:pPr>
      <w:r>
        <w:rPr/>
      </w:r>
    </w:p>
    <w:tbl>
      <w:tblPr>
        <w:tblW w:w="9638" w:type="dxa"/>
        <w:jc w:val="start"/>
        <w:tblInd w:w="0" w:type="dxa"/>
        <w:tblLayout w:type="fixed"/>
        <w:tblCellMar>
          <w:top w:w="100" w:type="dxa"/>
          <w:start w:w="200" w:type="dxa"/>
          <w:bottom w:w="100" w:type="dxa"/>
          <w:end w:w="160" w:type="dxa"/>
        </w:tblCellMar>
        <w:tblLook w:firstRow="1" w:noVBand="1" w:lastRow="0" w:firstColumn="1" w:lastColumn="0" w:noHBand="0" w:val="04a0"/>
      </w:tblPr>
      <w:tblGrid>
        <w:gridCol w:w="9638"/>
      </w:tblGrid>
      <w:tr>
        <w:trPr/>
        <w:tc>
          <w:tcPr>
            <w:tcW w:w="9638" w:type="dxa"/>
            <w:tcBorders>
              <w:top w:val="single" w:sz="4" w:space="0" w:color="BBBBBB"/>
              <w:start w:val="single" w:sz="16" w:space="0" w:color="1E8449"/>
              <w:bottom w:val="single" w:sz="4" w:space="0" w:color="BBBBBB"/>
              <w:end w:val="single" w:sz="4" w:space="0" w:color="BBBBBB"/>
            </w:tcBorders>
            <w:shd w:color="auto" w:fill="E8F5E9" w:val="clear"/>
          </w:tcPr>
          <w:p>
            <w:pPr>
              <w:pStyle w:val="Normal"/>
              <w:spacing w:before="0" w:after="30"/>
              <w:rPr/>
            </w:pPr>
            <w:r>
              <w:rPr>
                <w:b/>
                <w:bCs/>
                <w:color w:val="1E8449"/>
                <w:sz w:val="22"/>
                <w:szCs w:val="22"/>
              </w:rPr>
              <w:t xml:space="preserve">✓  </w:t>
            </w:r>
            <w:r>
              <w:rPr>
                <w:b/>
                <w:bCs/>
                <w:color w:val="1E8449"/>
                <w:sz w:val="22"/>
                <w:szCs w:val="22"/>
              </w:rPr>
              <w:t>SMD-Löten mit Flux</w:t>
            </w:r>
          </w:p>
          <w:p>
            <w:pPr>
              <w:pStyle w:val="Normal"/>
              <w:spacing w:lineRule="auto" w:line="360"/>
              <w:rPr/>
            </w:pPr>
            <w:r>
              <w:rPr/>
              <w:t>Vor dem Projekt war ich skeptisch gegenüber SMD-Bauteilen. Mit dem richtigen Flux und einer ordentlichen Lötspitze ist SMD-Löten deutlich einfacher als erwartet – und macht im Vergleich zu THT fast mehr Spaß. Das Ergebnis war optisch und elektrisch besser als gedacht.</w:t>
            </w:r>
          </w:p>
        </w:tc>
      </w:tr>
    </w:tbl>
    <w:p>
      <w:pPr>
        <w:pStyle w:val="Normal"/>
        <w:spacing w:before="50" w:after="0"/>
        <w:rPr/>
      </w:pPr>
      <w:r>
        <w:rPr/>
      </w:r>
    </w:p>
    <w:p>
      <w:pPr>
        <w:pStyle w:val="Normal"/>
        <w:spacing w:before="40" w:after="0"/>
        <w:rPr/>
      </w:pPr>
      <w:r>
        <w:rPr/>
      </w:r>
    </w:p>
    <w:p>
      <w:pPr>
        <w:pStyle w:val="Normal"/>
        <w:pBdr>
          <w:bottom w:val="single" w:sz="6" w:space="1" w:color="2E75B6"/>
        </w:pBdr>
        <w:rPr/>
      </w:pPr>
      <w:r>
        <w:rPr/>
      </w:r>
    </w:p>
    <w:p>
      <w:pPr>
        <w:pStyle w:val="Normal"/>
        <w:spacing w:before="180" w:after="70"/>
        <w:rPr>
          <w:b/>
          <w:bCs/>
          <w:color w:val="1F4E79"/>
          <w:sz w:val="24"/>
          <w:szCs w:val="24"/>
        </w:rPr>
      </w:pPr>
      <w:r>
        <w:rPr>
          <w:b/>
          <w:bCs/>
          <w:color w:val="1F4E79"/>
          <w:sz w:val="24"/>
          <w:szCs w:val="24"/>
        </w:rPr>
      </w:r>
    </w:p>
    <w:p>
      <w:pPr>
        <w:pStyle w:val="Normal"/>
        <w:spacing w:before="180" w:after="70"/>
        <w:rPr>
          <w:b/>
          <w:bCs/>
          <w:color w:val="1F4E79"/>
          <w:sz w:val="24"/>
          <w:szCs w:val="24"/>
        </w:rPr>
      </w:pPr>
      <w:r>
        <w:rPr>
          <w:b/>
          <w:bCs/>
          <w:color w:val="1F4E79"/>
          <w:sz w:val="24"/>
          <w:szCs w:val="24"/>
        </w:rPr>
      </w:r>
    </w:p>
    <w:p>
      <w:pPr>
        <w:pStyle w:val="Normal"/>
        <w:spacing w:before="180" w:after="70"/>
        <w:rPr>
          <w:b/>
          <w:bCs/>
          <w:color w:val="1F4E79"/>
          <w:sz w:val="24"/>
          <w:szCs w:val="24"/>
        </w:rPr>
      </w:pPr>
      <w:r>
        <w:rPr>
          <w:b/>
          <w:bCs/>
          <w:color w:val="1F4E79"/>
          <w:sz w:val="24"/>
          <w:szCs w:val="24"/>
        </w:rPr>
        <w:t>3   Größter Fehler und was ich daraus mitgenommen habe</w:t>
      </w:r>
    </w:p>
    <w:tbl>
      <w:tblPr>
        <w:tblW w:w="9638" w:type="dxa"/>
        <w:jc w:val="start"/>
        <w:tblInd w:w="0" w:type="dxa"/>
        <w:tblLayout w:type="fixed"/>
        <w:tblCellMar>
          <w:top w:w="100" w:type="dxa"/>
          <w:start w:w="200" w:type="dxa"/>
          <w:bottom w:w="100" w:type="dxa"/>
          <w:end w:w="160" w:type="dxa"/>
        </w:tblCellMar>
        <w:tblLook w:firstRow="1" w:noVBand="1" w:lastRow="0" w:firstColumn="1" w:lastColumn="0" w:noHBand="0" w:val="04a0"/>
      </w:tblPr>
      <w:tblGrid>
        <w:gridCol w:w="9638"/>
      </w:tblGrid>
      <w:tr>
        <w:trPr/>
        <w:tc>
          <w:tcPr>
            <w:tcW w:w="9638" w:type="dxa"/>
            <w:tcBorders>
              <w:top w:val="single" w:sz="4" w:space="0" w:color="BBBBBB"/>
              <w:start w:val="single" w:sz="16" w:space="0" w:color="C0392B"/>
              <w:bottom w:val="single" w:sz="4" w:space="0" w:color="BBBBBB"/>
              <w:end w:val="single" w:sz="4" w:space="0" w:color="BBBBBB"/>
            </w:tcBorders>
            <w:shd w:color="auto" w:fill="FEECEC" w:val="clear"/>
          </w:tcPr>
          <w:p>
            <w:pPr>
              <w:pStyle w:val="Normal"/>
              <w:spacing w:before="0" w:after="30"/>
              <w:rPr/>
            </w:pPr>
            <w:r>
              <w:rPr>
                <w:b/>
                <w:bCs/>
                <w:color w:val="C0392B"/>
                <w:sz w:val="22"/>
                <w:szCs w:val="22"/>
              </w:rPr>
              <w:t xml:space="preserve">✗  </w:t>
            </w:r>
            <w:r>
              <w:rPr>
                <w:b/>
                <w:bCs/>
                <w:color w:val="C0392B"/>
                <w:sz w:val="22"/>
                <w:szCs w:val="22"/>
              </w:rPr>
              <w:t>Falsches Schaltplansymbol (DIP-28 statt TQFP-32)</w:t>
            </w:r>
          </w:p>
          <w:p>
            <w:pPr>
              <w:pStyle w:val="Normal"/>
              <w:spacing w:lineRule="auto" w:line="360"/>
              <w:rPr/>
            </w:pPr>
            <w:r>
              <w:rPr/>
              <w:t>Der teuerste Fehler des Projekts: Das KiCad-Symbol für den ATmega328P-AU war ein DIP-28-Simulations-Symbol ohne korrektes Pin-Mapping. Alle 32 Pins waren falsch verdrahtet. Das wurde erst nach der Bestellung und Lieferung der V1-Platine erkannt – zu spät, um zu stornieren. Die V1-Platine ist nie funktionsfähig gewesen und bleibt als Lernprototyp in der Dokumentation. Die Lektion: Symbol, Footprint und Datenblatt-Pinbelegung müssen vor jeder Bestellung konsequent gegen das Datenblatt geprüft werden – nicht nur stichprobenartig.</w:t>
            </w:r>
          </w:p>
        </w:tc>
      </w:tr>
    </w:tbl>
    <w:p>
      <w:pPr>
        <w:pStyle w:val="Normal"/>
        <w:spacing w:before="50" w:after="0"/>
        <w:rPr/>
      </w:pPr>
      <w:r>
        <w:rPr/>
      </w:r>
    </w:p>
    <w:p>
      <w:pPr>
        <w:pStyle w:val="Normal"/>
        <w:spacing w:before="40" w:after="0"/>
        <w:rPr/>
      </w:pPr>
      <w:r>
        <w:rPr/>
      </w:r>
    </w:p>
    <w:p>
      <w:pPr>
        <w:pStyle w:val="Normal"/>
        <w:pBdr>
          <w:bottom w:val="single" w:sz="6" w:space="1" w:color="2E75B6"/>
        </w:pBdr>
        <w:rPr/>
      </w:pPr>
      <w:r>
        <w:rPr/>
      </w:r>
    </w:p>
    <w:p>
      <w:pPr>
        <w:pStyle w:val="Normal"/>
        <w:spacing w:before="180" w:after="70"/>
        <w:rPr/>
      </w:pPr>
      <w:r>
        <w:rPr>
          <w:b/>
          <w:bCs/>
          <w:color w:val="1F4E79"/>
          <w:sz w:val="24"/>
          <w:szCs w:val="24"/>
        </w:rPr>
        <w:t>4   Was ich gelernt habe</w:t>
      </w:r>
    </w:p>
    <w:p>
      <w:pPr>
        <w:pStyle w:val="Normal"/>
        <w:spacing w:lineRule="auto" w:line="360" w:before="0" w:after="70"/>
        <w:rPr/>
      </w:pPr>
      <w:r>
        <w:rPr/>
        <w:t>Technisch:</w:t>
      </w:r>
    </w:p>
    <w:p>
      <w:pPr>
        <w:pStyle w:val="Normal"/>
        <w:spacing w:lineRule="auto" w:line="319" w:before="0" w:after="30"/>
        <w:ind w:start="360"/>
        <w:rPr/>
      </w:pPr>
      <w:r>
        <w:rPr/>
        <w:t>· KiCad vollständig: Schaltplan → Footprint-Zuweisung → PCB-Layout → DRC → Gerber-Export</w:t>
      </w:r>
    </w:p>
    <w:p>
      <w:pPr>
        <w:pStyle w:val="Normal"/>
        <w:spacing w:lineRule="auto" w:line="319" w:before="0" w:after="30"/>
        <w:ind w:start="360"/>
        <w:rPr/>
      </w:pPr>
      <w:r>
        <w:rPr/>
        <w:t>· PCBWay-Bestellprozess: Gerber-Viewer, Parameter (2L, 1,6mm, TG150, HASL, 1oz)</w:t>
      </w:r>
    </w:p>
    <w:p>
      <w:pPr>
        <w:pStyle w:val="Normal"/>
        <w:spacing w:lineRule="auto" w:line="319" w:before="0" w:after="30"/>
        <w:ind w:start="360"/>
        <w:rPr/>
      </w:pPr>
      <w:r>
        <w:rPr/>
        <w:t>· SMD-Löten mit Flux – deutlich zugänglicher als gedacht</w:t>
      </w:r>
    </w:p>
    <w:p>
      <w:pPr>
        <w:pStyle w:val="Normal"/>
        <w:spacing w:lineRule="auto" w:line="319" w:before="0" w:after="30"/>
        <w:ind w:start="360"/>
        <w:rPr/>
      </w:pPr>
      <w:r>
        <w:rPr/>
        <w:t>· LM317 als Konstantstromquelle: I = 1,25V / R – einfach, präzise, robust</w:t>
      </w:r>
    </w:p>
    <w:p>
      <w:pPr>
        <w:pStyle w:val="Normal"/>
        <w:spacing w:lineRule="auto" w:line="319" w:before="0" w:after="30"/>
        <w:ind w:start="360"/>
        <w:rPr/>
      </w:pPr>
      <w:r>
        <w:rPr/>
        <w:t>· MOSFET-Schaltungen verstehen: PMOS high-side (Verpolschutz), NMOS low-side (Entladepfad)</w:t>
      </w:r>
    </w:p>
    <w:p>
      <w:pPr>
        <w:pStyle w:val="Normal"/>
        <w:spacing w:lineRule="auto" w:line="319" w:before="0" w:after="30"/>
        <w:ind w:start="360"/>
        <w:rPr/>
      </w:pPr>
      <w:r>
        <w:rPr/>
        <w:t>· ADC-Timing und interne Referenz des ATmega328P</w:t>
      </w:r>
    </w:p>
    <w:p>
      <w:pPr>
        <w:pStyle w:val="Normal"/>
        <w:spacing w:before="20" w:after="0"/>
        <w:rPr/>
      </w:pPr>
      <w:r>
        <w:rPr/>
      </w:r>
    </w:p>
    <w:p>
      <w:pPr>
        <w:pStyle w:val="Normal"/>
        <w:spacing w:lineRule="auto" w:line="360" w:before="0" w:after="70"/>
        <w:rPr/>
      </w:pPr>
      <w:r>
        <w:rPr/>
        <w:t>Persönlich / methodisch:</w:t>
      </w:r>
    </w:p>
    <w:p>
      <w:pPr>
        <w:pStyle w:val="Normal"/>
        <w:spacing w:lineRule="auto" w:line="319" w:before="0" w:after="30"/>
        <w:ind w:start="360"/>
        <w:rPr/>
      </w:pPr>
      <w:r>
        <w:rPr/>
        <w:t>· Footprints und Symbole IMMER gegen Datenblatt prüfen, bevor bestellt wird – nicht nach dem Bestellen</w:t>
      </w:r>
    </w:p>
    <w:p>
      <w:pPr>
        <w:pStyle w:val="Normal"/>
        <w:spacing w:lineRule="auto" w:line="319" w:before="0" w:after="30"/>
        <w:ind w:start="360"/>
        <w:rPr/>
      </w:pPr>
      <w:r>
        <w:rPr/>
        <w:t>· Mehr Vorab-Nachdenken spart hinten doppelte Arbeit</w:t>
      </w:r>
    </w:p>
    <w:p>
      <w:pPr>
        <w:pStyle w:val="Normal"/>
        <w:spacing w:lineRule="auto" w:line="319" w:before="0" w:after="30"/>
        <w:ind w:start="360"/>
        <w:rPr/>
      </w:pPr>
      <w:r>
        <w:rPr/>
        <w:t>· Zeitschätzungen bei Hardware-Projekten deutlich großzügiger ansetzen als bei reiner Software</w:t>
      </w:r>
    </w:p>
    <w:p>
      <w:pPr>
        <w:pStyle w:val="Normal"/>
        <w:spacing w:lineRule="auto" w:line="319" w:before="0" w:after="30"/>
        <w:ind w:start="360"/>
        <w:rPr/>
      </w:pPr>
      <w:r>
        <w:rPr/>
        <w:t>· Dokumentation parallel führen ist besser als alles am Ende nachzuholen</w:t>
      </w:r>
    </w:p>
    <w:p>
      <w:pPr>
        <w:pStyle w:val="Normal"/>
        <w:spacing w:before="40" w:after="0"/>
        <w:rPr/>
      </w:pPr>
      <w:r>
        <w:rPr/>
      </w:r>
    </w:p>
    <w:p>
      <w:pPr>
        <w:pStyle w:val="Normal"/>
        <w:pBdr>
          <w:bottom w:val="single" w:sz="6" w:space="1" w:color="2E75B6"/>
        </w:pBdr>
        <w:rPr/>
      </w:pPr>
      <w:r>
        <w:rPr/>
      </w:r>
    </w:p>
    <w:p>
      <w:pPr>
        <w:pStyle w:val="Normal"/>
        <w:spacing w:before="180" w:after="70"/>
        <w:rPr/>
      </w:pPr>
      <w:r>
        <w:rPr>
          <w:b/>
          <w:bCs/>
          <w:color w:val="1F4E79"/>
          <w:sz w:val="24"/>
          <w:szCs w:val="24"/>
        </w:rPr>
        <w:t>5   Was ich beim nächsten Mal anders machen würde</w:t>
      </w:r>
    </w:p>
    <w:p>
      <w:pPr>
        <w:pStyle w:val="Normal"/>
        <w:spacing w:lineRule="auto" w:line="360" w:before="0" w:after="70"/>
        <w:rPr/>
      </w:pPr>
      <w:r>
        <w:rPr/>
        <w:t>Footprints früher und genauer prüfen: Jedes neue Symbol sofort mit Datenblatt abgleichen – Pinbezeichnung, Gehäuseform, Pad-Anordnung. Das ist der Schritt, der mich in V1 eine komplette Platine gekostet hat.</w:t>
      </w:r>
    </w:p>
    <w:p>
      <w:pPr>
        <w:pStyle w:val="Normal"/>
        <w:spacing w:before="20" w:after="0"/>
        <w:rPr/>
      </w:pPr>
      <w:r>
        <w:rPr/>
      </w:r>
    </w:p>
    <w:p>
      <w:pPr>
        <w:pStyle w:val="Normal"/>
        <w:spacing w:lineRule="auto" w:line="360" w:before="0" w:after="70"/>
        <w:rPr/>
      </w:pPr>
      <w:r>
        <w:rPr/>
        <w:t>Mehr Vorab-Nachdenken: Bevor der Schaltplan im PCB-Editor landet, würde ich mir mehr Zeit nehmen, den Stromfluss und die Schutzschaltungen auf Papier durchzudenken. R20 (Entlade-Schutzwiderstand) und die VGS-Optimierung bei Q1 hätten eigentlich schon in V1 drin sein sollen – sie kamen erst durch Review in V2.</w:t>
      </w:r>
    </w:p>
    <w:p>
      <w:pPr>
        <w:pStyle w:val="Normal"/>
        <w:spacing w:before="20" w:after="0"/>
        <w:rPr/>
      </w:pPr>
      <w:r>
        <w:rPr/>
      </w:r>
    </w:p>
    <w:p>
      <w:pPr>
        <w:pStyle w:val="Normal"/>
        <w:spacing w:lineRule="auto" w:line="360" w:before="0" w:after="70"/>
        <w:rPr/>
      </w:pPr>
      <w:r>
        <w:rPr/>
        <w:t>Prototyp zuerst auf Steckbrett: Für die Kernschaltung (LM317 + ATmega + ADC) wäre ein Steckbrett-Test vor dem PCB-Design sinnvoll gewesen, um das Messprinzip real zu validieren.</w:t>
      </w:r>
    </w:p>
    <w:p>
      <w:pPr>
        <w:pStyle w:val="Normal"/>
        <w:spacing w:before="40" w:after="0"/>
        <w:rPr/>
      </w:pPr>
      <w:r>
        <w:rPr/>
      </w:r>
    </w:p>
    <w:p>
      <w:pPr>
        <w:pStyle w:val="Normal"/>
        <w:pBdr>
          <w:bottom w:val="single" w:sz="6" w:space="1" w:color="2E75B6"/>
        </w:pBdr>
        <w:rPr/>
      </w:pPr>
      <w:r>
        <w:rPr/>
      </w:r>
    </w:p>
    <w:p>
      <w:pPr>
        <w:pStyle w:val="Normal"/>
        <w:spacing w:before="180" w:after="70"/>
        <w:rPr>
          <w:b/>
          <w:bCs/>
          <w:color w:val="1F4E79"/>
          <w:sz w:val="24"/>
          <w:szCs w:val="24"/>
        </w:rPr>
      </w:pPr>
      <w:r>
        <w:rPr>
          <w:b/>
          <w:bCs/>
          <w:color w:val="1F4E79"/>
          <w:sz w:val="24"/>
          <w:szCs w:val="24"/>
        </w:rPr>
      </w:r>
    </w:p>
    <w:p>
      <w:pPr>
        <w:pStyle w:val="Normal"/>
        <w:spacing w:before="180" w:after="70"/>
        <w:rPr/>
      </w:pPr>
      <w:bookmarkStart w:id="0" w:name="_GoBack"/>
      <w:bookmarkEnd w:id="0"/>
      <w:r>
        <w:rPr>
          <w:b/>
          <w:bCs/>
          <w:color w:val="1F4E79"/>
          <w:sz w:val="24"/>
          <w:szCs w:val="24"/>
        </w:rPr>
        <w:t>6   Verbesserungspotenzial am Gerät</w:t>
      </w:r>
    </w:p>
    <w:p>
      <w:pPr>
        <w:pStyle w:val="Normal"/>
        <w:spacing w:lineRule="auto" w:line="360" w:before="0" w:after="70"/>
        <w:rPr/>
      </w:pPr>
      <w:r>
        <w:rPr/>
        <w:t>Das Gerät funktioniert als Prototyp. Für eine nächste Version oder einen Produktionsstand wären folgende Erweiterungen sinnvoll:</w:t>
      </w:r>
    </w:p>
    <w:p>
      <w:pPr>
        <w:pStyle w:val="Normal"/>
        <w:spacing w:lineRule="auto" w:line="319" w:before="0" w:after="30"/>
        <w:ind w:start="360"/>
        <w:rPr/>
      </w:pPr>
      <w:r>
        <w:rPr/>
        <w:t>· Gehäuse: Als nackte Platine ist das Gerät anfällig für mechanische Beschädigungen und nicht ESD-geschützt. Ein einfaches 3D-gedrucktes Gehäuse würde das Gerät alltagstauglicher machen.</w:t>
      </w:r>
    </w:p>
    <w:p>
      <w:pPr>
        <w:pStyle w:val="Normal"/>
        <w:spacing w:lineRule="auto" w:line="319" w:before="0" w:after="30"/>
        <w:ind w:start="360"/>
        <w:rPr/>
      </w:pPr>
      <w:r>
        <w:rPr/>
        <w:t>· Kalibrierung: Aktuell ±20 % ohne Referenznormal. Mit einem bekannten Referenzkondensator und einem Software-Kalibrierungsschritt wäre ±5 % realistisch.</w:t>
      </w:r>
    </w:p>
    <w:p>
      <w:pPr>
        <w:pStyle w:val="Normal"/>
        <w:spacing w:lineRule="auto" w:line="319" w:before="0" w:after="30"/>
        <w:ind w:start="360"/>
        <w:rPr/>
      </w:pPr>
      <w:r>
        <w:rPr/>
        <w:t>· Polungsunabhängigkeit: Wenn der Kondensator verpolt angeschlossen wird, zeigt das Gerät einen Fehler. Sinnvoller wäre eine automatische Polaritätserkennung und -umschaltung, sodass die Polung des Kondensators egal ist – besonders bei schnellem Werkstatteinsatz praktisch.</w:t>
      </w:r>
    </w:p>
    <w:p>
      <w:pPr>
        <w:pStyle w:val="Normal"/>
        <w:spacing w:lineRule="auto" w:line="319" w:before="0" w:after="30"/>
        <w:ind w:start="360"/>
        <w:rPr/>
      </w:pPr>
      <w:r>
        <w:rPr/>
        <w:t>· Genauere Messauflösung: Mit einem externen ADC (z.B. 16-Bit ADS1115 via I²C) wäre die Auflösung deutlich besser, besonders für kleine Kapazitäten unter 100 µF.</w:t>
      </w:r>
    </w:p>
    <w:p>
      <w:pPr>
        <w:pStyle w:val="Normal"/>
        <w:spacing w:lineRule="auto" w:line="319" w:before="0" w:after="30"/>
        <w:ind w:start="360"/>
        <w:rPr/>
      </w:pPr>
      <w:r>
        <w:rPr/>
        <w:t>· ESR-Messung: Eine einfache ESR-Schätzung wäre eine wertvolle Erweiterung – schlechte Elkos haben oft erhöhten ESR lange bevor die Kapazität deutlich abnimmt.</w:t>
      </w:r>
    </w:p>
    <w:p>
      <w:pPr>
        <w:pStyle w:val="Normal"/>
        <w:spacing w:before="40" w:after="0"/>
        <w:rPr/>
      </w:pPr>
      <w:r>
        <w:rPr/>
      </w:r>
    </w:p>
    <w:p>
      <w:pPr>
        <w:pStyle w:val="Normal"/>
        <w:pBdr>
          <w:bottom w:val="single" w:sz="6" w:space="1" w:color="2E75B6"/>
        </w:pBdr>
        <w:rPr/>
      </w:pPr>
      <w:r>
        <w:rPr/>
      </w:r>
    </w:p>
    <w:p>
      <w:pPr>
        <w:pStyle w:val="Normal"/>
        <w:spacing w:before="180" w:after="70"/>
        <w:rPr/>
      </w:pPr>
      <w:r>
        <w:rPr>
          <w:b/>
          <w:bCs/>
          <w:color w:val="1F4E79"/>
          <w:sz w:val="24"/>
          <w:szCs w:val="24"/>
        </w:rPr>
        <w:t>7   Gesamteinschätzung</w:t>
      </w:r>
    </w:p>
    <w:p>
      <w:pPr>
        <w:pStyle w:val="Normal"/>
        <w:spacing w:lineRule="auto" w:line="360" w:before="0" w:after="70"/>
        <w:rPr/>
      </w:pPr>
      <w:r>
        <w:rPr/>
        <w:t>Das Projekt hat – trotz des Rückschlags mit der V1-Platine – insgesamt Spaß gemacht. Die Kombination aus Schaltungsentwicklung, PCB-Design, Fertigung und Inbetriebnahme ist genau das, was ich mir unter einem betrieblichen Auftrag vorstelle. Das Ergebnis ist kein perfektes Serienprodukt, aber ein funktionsfähiger, dokumentierter Prototyp der zeigt, dass ich den gesamten Weg von der Idee bis zur Inbetriebnahme selbst bestreiten kann.</w:t>
      </w:r>
    </w:p>
    <w:p>
      <w:pPr>
        <w:pStyle w:val="Normal"/>
        <w:spacing w:before="20" w:after="0"/>
        <w:rPr/>
      </w:pPr>
      <w:r>
        <w:rPr/>
      </w:r>
    </w:p>
    <w:tbl>
      <w:tblPr>
        <w:tblW w:w="9638" w:type="dxa"/>
        <w:jc w:val="start"/>
        <w:tblInd w:w="0" w:type="dxa"/>
        <w:tblLayout w:type="fixed"/>
        <w:tblCellMar>
          <w:top w:w="120" w:type="dxa"/>
          <w:start w:w="200" w:type="dxa"/>
          <w:bottom w:w="120" w:type="dxa"/>
          <w:end w:w="160" w:type="dxa"/>
        </w:tblCellMar>
        <w:tblLook w:firstRow="1" w:noVBand="1" w:lastRow="0" w:firstColumn="1" w:lastColumn="0" w:noHBand="0" w:val="04a0"/>
      </w:tblPr>
      <w:tblGrid>
        <w:gridCol w:w="9638"/>
      </w:tblGrid>
      <w:tr>
        <w:trPr/>
        <w:tc>
          <w:tcPr>
            <w:tcW w:w="9638" w:type="dxa"/>
            <w:tcBorders>
              <w:top w:val="single" w:sz="4" w:space="0" w:color="BBBBBB"/>
              <w:start w:val="single" w:sz="20" w:space="0" w:color="2E75B6"/>
              <w:bottom w:val="single" w:sz="4" w:space="0" w:color="BBBBBB"/>
              <w:end w:val="single" w:sz="4" w:space="0" w:color="BBBBBB"/>
            </w:tcBorders>
            <w:shd w:color="auto" w:fill="EBF3FB" w:val="clear"/>
          </w:tcPr>
          <w:p>
            <w:pPr>
              <w:pStyle w:val="Normal"/>
              <w:rPr/>
            </w:pPr>
            <w:r>
              <w:rPr>
                <w:b/>
                <w:bCs/>
                <w:color w:val="1F4E79"/>
                <w:sz w:val="22"/>
                <w:szCs w:val="22"/>
              </w:rPr>
              <w:t>Alles in allem hat es – auch wenn es manchmal nervig war – wirklich Spaß gemacht.</w:t>
            </w:r>
          </w:p>
        </w:tc>
      </w:tr>
    </w:tbl>
    <w:p>
      <w:pPr>
        <w:pStyle w:val="Normal"/>
        <w:spacing w:before="100" w:after="0"/>
        <w:rPr/>
      </w:pPr>
      <w:r>
        <w:rPr/>
      </w:r>
    </w:p>
    <w:p>
      <w:pPr>
        <w:pStyle w:val="Normal"/>
        <w:pBdr>
          <w:top w:val="single" w:sz="4" w:space="1" w:color="AAAAAA"/>
        </w:pBdr>
        <w:spacing w:before="80" w:after="0"/>
        <w:jc w:val="end"/>
        <w:rPr/>
      </w:pPr>
      <w:r>
        <w:rPr>
          <w:color w:val="888888"/>
          <w:sz w:val="16"/>
          <w:szCs w:val="16"/>
        </w:rPr>
        <w:t>KapTester V2  ·  Fazit und Selbsteinschätzung  ·  Nico Schmidt  ·  IHK Osnabrück AP2 2026</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de-DE" w:eastAsia="de-DE"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0"/>
      <w:szCs w:val="20"/>
      <w:lang w:val="de-DE" w:eastAsia="de-DE" w:bidi="ar-SA"/>
    </w:rPr>
  </w:style>
  <w:style w:type="paragraph" w:styleId="Heading1">
    <w:name w:val="heading 1"/>
    <w:uiPriority w:val="9"/>
    <w:qFormat/>
    <w:pPr>
      <w:widowControl/>
      <w:bidi w:val="0"/>
      <w:spacing w:before="0" w:after="0"/>
      <w:jc w:val="start"/>
      <w:outlineLvl w:val="0"/>
    </w:pPr>
    <w:rPr>
      <w:rFonts w:ascii="Arial" w:hAnsi="Arial" w:eastAsia="Arial" w:cs="Arial"/>
      <w:color w:val="2E74B5"/>
      <w:kern w:val="0"/>
      <w:sz w:val="32"/>
      <w:szCs w:val="32"/>
      <w:lang w:val="de-DE" w:eastAsia="de-DE" w:bidi="ar-SA"/>
    </w:rPr>
  </w:style>
  <w:style w:type="paragraph" w:styleId="Heading2">
    <w:name w:val="heading 2"/>
    <w:uiPriority w:val="9"/>
    <w:semiHidden/>
    <w:unhideWhenUsed/>
    <w:qFormat/>
    <w:pPr>
      <w:widowControl/>
      <w:bidi w:val="0"/>
      <w:spacing w:before="0" w:after="0"/>
      <w:jc w:val="start"/>
      <w:outlineLvl w:val="1"/>
    </w:pPr>
    <w:rPr>
      <w:rFonts w:ascii="Arial" w:hAnsi="Arial" w:eastAsia="Arial" w:cs="Arial"/>
      <w:color w:val="2E74B5"/>
      <w:kern w:val="0"/>
      <w:sz w:val="26"/>
      <w:szCs w:val="26"/>
      <w:lang w:val="de-DE" w:eastAsia="de-DE"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de-DE" w:eastAsia="de-DE"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0"/>
      <w:szCs w:val="20"/>
      <w:lang w:val="de-DE" w:eastAsia="de-DE"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0"/>
      <w:szCs w:val="20"/>
      <w:lang w:val="de-DE" w:eastAsia="de-DE"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0"/>
      <w:szCs w:val="20"/>
      <w:lang w:val="de-DE" w:eastAsia="de-DE"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unotentextZchn" w:customStyle="1">
    <w:name w:val="Fußnotentext Zchn"/>
    <w:uiPriority w:val="99"/>
    <w:semiHidden/>
    <w:unhideWhenUsed/>
    <w:qFormat/>
    <w:rPr>
      <w:sz w:val="20"/>
      <w:szCs w:val="20"/>
    </w:rPr>
  </w:style>
  <w:style w:type="character" w:styleId="Endnotenzeichen">
    <w:name w:val="Endnotenzeichen"/>
    <w:uiPriority w:val="99"/>
    <w:semiHidden/>
    <w:unhideWhenUsed/>
    <w:qFormat/>
    <w:rPr>
      <w:vertAlign w:val="superscript"/>
    </w:rPr>
  </w:style>
  <w:style w:type="character" w:styleId="EndnoteReference">
    <w:name w:val="endnote reference"/>
    <w:rPr>
      <w:vertAlign w:val="superscript"/>
    </w:rPr>
  </w:style>
  <w:style w:type="character" w:styleId="EndnotentextZchn" w:customStyle="1">
    <w:name w:val="Endnotentext Zchn"/>
    <w:link w:val="EndnoteText"/>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de-DE" w:eastAsia="de-DE" w:bidi="ar-SA"/>
    </w:rPr>
  </w:style>
  <w:style w:type="paragraph" w:styleId="Fett1" w:customStyle="1">
    <w:name w:val="Fett1"/>
    <w:qFormat/>
    <w:pPr>
      <w:widowControl/>
      <w:bidi w:val="0"/>
      <w:spacing w:before="0" w:after="0"/>
      <w:jc w:val="start"/>
    </w:pPr>
    <w:rPr>
      <w:rFonts w:ascii="Arial" w:hAnsi="Arial" w:eastAsia="Arial" w:cs="Arial"/>
      <w:b/>
      <w:bCs/>
      <w:color w:val="auto"/>
      <w:kern w:val="0"/>
      <w:sz w:val="20"/>
      <w:szCs w:val="20"/>
      <w:lang w:val="de-DE" w:eastAsia="de-DE" w:bidi="ar-SA"/>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de-DE" w:eastAsia="de-DE" w:bidi="ar-SA"/>
    </w:rPr>
  </w:style>
  <w:style w:type="paragraph" w:styleId="FootnoteText">
    <w:name w:val="footnote text"/>
    <w:link w:val="FunotentextZchn"/>
    <w:uiPriority w:val="99"/>
    <w:semiHidden/>
    <w:unhideWhenUsed/>
    <w:pPr>
      <w:widowControl/>
      <w:bidi w:val="0"/>
      <w:spacing w:before="0" w:after="0"/>
      <w:jc w:val="start"/>
    </w:pPr>
    <w:rPr>
      <w:rFonts w:ascii="Arial" w:hAnsi="Arial" w:eastAsia="Arial" w:cs="Arial"/>
      <w:color w:val="auto"/>
      <w:kern w:val="0"/>
      <w:sz w:val="20"/>
      <w:szCs w:val="20"/>
      <w:lang w:val="de-DE" w:eastAsia="de-DE" w:bidi="ar-SA"/>
    </w:rPr>
  </w:style>
  <w:style w:type="paragraph" w:styleId="EndnoteText">
    <w:name w:val="endnote text"/>
    <w:link w:val="EndnotentextZchn"/>
    <w:uiPriority w:val="99"/>
    <w:semiHidden/>
    <w:unhideWhenUsed/>
    <w:pPr>
      <w:widowControl/>
      <w:bidi w:val="0"/>
      <w:spacing w:before="0" w:after="0"/>
      <w:jc w:val="start"/>
    </w:pPr>
    <w:rPr>
      <w:rFonts w:ascii="Arial" w:hAnsi="Arial" w:eastAsia="Arial" w:cs="Arial"/>
      <w:color w:val="auto"/>
      <w:kern w:val="0"/>
      <w:sz w:val="20"/>
      <w:szCs w:val="20"/>
      <w:lang w:val="de-DE" w:eastAsia="de-DE" w:bidi="ar-SA"/>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LibreOffice/25.8.6.2$Windows_X86_64 LibreOffice_project/b4b39682cd9868fa725bc664aff94278d315bd04</Application>
  <AppVersion>15.0000</AppVersion>
  <Pages>3</Pages>
  <Words>813</Words>
  <Characters>5176</Characters>
  <CharactersWithSpaces>5990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2026-04-26T13:46:00Z</dcterms:created>
  <dc:creator>Un-named</dc:creator>
  <dc:description/>
  <dc:language>de-DE</dc:language>
  <cp:lastModifiedBy/>
  <dcterms:modified xsi:type="dcterms:W3CDTF">2026-05-23T19:02:58Z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