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Persönliche Referenz / README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Nico Schmidt  │  AP2 2026</w:t>
            </w:r>
          </w:p>
        </w:tc>
      </w:tr>
    </w:tbl>
    <w:p>
      <w:pPr>
        <w:pStyle w:val="Normal"/>
        <w:spacing w:before="80" w:after="60"/>
        <w:rPr/>
      </w:pPr>
      <w:r>
        <w:rPr>
          <w:color w:val="777777"/>
        </w:rPr>
        <w:t>Dieses Dokument ist meine persönliche Zusammenfassung – für die mündliche Prüfung, zum Nachschlagen und als Gedächtnisstütze. Nicht für die IHK-Abgabe bestimmt.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1   Protokoll-Phasen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Phase 0: </w:t>
      </w:r>
      <w:r>
        <w:rPr/>
        <w:t>Planungsanker – Konzept, Lastenheft, Schaltplan, BOM, Risiken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Phase 1: </w:t>
      </w:r>
      <w:r>
        <w:rPr/>
        <w:t>Fertigung – LMP ausfüllen, löten, dokumentieren, Fotos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Phase 2: </w:t>
      </w:r>
      <w:r>
        <w:rPr/>
        <w:t>Sichere Erstinbetriebnahme – spannungsfrei prüfen → kontrolliert einschalten → IBP → übergeben an MP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Phase 3: </w:t>
      </w:r>
      <w:r>
        <w:rPr/>
        <w:t>Nachweis durch Messungen – Messmittel, Messbedingungen, Messpunkte, Ergebnislogik → MP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Phase 4: </w:t>
      </w:r>
      <w:r>
        <w:rPr/>
        <w:t>Formale Abnahme / Freigabe – alle Kriterien geprüft → ANP unterschrieben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2   Schutzklassen (für die mündliche Prüfung)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SK I: </w:t>
      </w:r>
      <w:r>
        <w:rPr/>
        <w:t>Basisisolierung + Schutzleiter (PE) am berührbaren leitfähigen Gehäuse (z. B. Bohrmaschine)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SK II: </w:t>
      </w:r>
      <w:r>
        <w:rPr/>
        <w:t>Doppelte/verstärkte Isolierung, kein PE (z. B. Haartrockner)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SK III: </w:t>
      </w:r>
      <w:r>
        <w:rPr/>
        <w:t>Versorgung ausschließlich über SELV (Schutzkleinspannung, z. B. 12–24 V DC)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KapTester: </w:t>
      </w:r>
      <w:r>
        <w:rPr/>
        <w:t>NA – Baugruppe ohne Gehäuse, SELV 5 V DC → Schutzklasse abhängig von späterer Integration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3   IPC-A-610 Klassen (Lötqualität)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Klasse 1: </w:t>
      </w:r>
      <w:r>
        <w:rPr/>
        <w:t>Consumer / 'funktioniert reicht' – optische Fehler toleriert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Klasse 2: </w:t>
      </w:r>
      <w:r>
        <w:rPr/>
        <w:t>Dedicated Service / solide Industriequalität – langlebig, reproduzierbar (KapTester: Klasse 2)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Klasse 3: </w:t>
      </w:r>
      <w:r>
        <w:rPr/>
        <w:t>High-Reliability / sicherheitskritisch – Luft-/Raumfahrt, Medizintechnik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4   Messprinzip – Kapazitätsformel</w:t>
      </w:r>
    </w:p>
    <w:p>
      <w:pPr>
        <w:pStyle w:val="Normal"/>
        <w:spacing w:lineRule="auto" w:line="350" w:before="0" w:after="60"/>
        <w:rPr/>
      </w:pPr>
      <w:r>
        <w:rPr>
          <w:sz w:val="20"/>
          <w:szCs w:val="20"/>
        </w:rPr>
        <w:t>Der LM317 erzeugt konstant I = 1,25 V / 1200 Ω = 1,042 mA. Der Kondensator lädt sich linear auf: U(t) = I·t/C. Umgestellt:</w:t>
      </w:r>
    </w:p>
    <w:p>
      <w:pPr>
        <w:pStyle w:val="Normal"/>
        <w:spacing w:before="20" w:after="20"/>
        <w:jc w:val="center"/>
        <w:rPr/>
      </w:pPr>
      <w:r>
        <w:rPr>
          <w:rFonts w:eastAsia="Courier New" w:cs="Courier New" w:ascii="Courier New" w:hAnsi="Courier New"/>
          <w:b/>
          <w:bCs/>
          <w:color w:val="1F4E79"/>
          <w:sz w:val="22"/>
          <w:szCs w:val="22"/>
        </w:rPr>
        <w:t>C = I × t / U  →  C = 0,001042 A × t_s / 1,1 V</w:t>
      </w:r>
    </w:p>
    <w:p>
      <w:pPr>
        <w:pStyle w:val="Normal"/>
        <w:spacing w:lineRule="auto" w:line="350" w:before="0" w:after="60"/>
        <w:rPr/>
      </w:pPr>
      <w:r>
        <w:rPr>
          <w:sz w:val="20"/>
          <w:szCs w:val="20"/>
        </w:rPr>
        <w:t>Bei 100 µF: t = 100×10⁻⁶ × 1,1 / 0,001042 ≈ 0,106 s. Bei 10.000 µF: t ≈ 10,6 s. ATmega stoppt Timer wenn ADC = 1,1 V (interne Referenz).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</w:r>
    </w:p>
    <w:p>
      <w:pPr>
        <w:pStyle w:val="Normal"/>
        <w:spacing w:before="180" w:after="6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</w:r>
    </w:p>
    <w:p>
      <w:pPr>
        <w:pStyle w:val="Normal"/>
        <w:spacing w:before="180" w:after="6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</w:r>
    </w:p>
    <w:p>
      <w:pPr>
        <w:pStyle w:val="Normal"/>
        <w:spacing w:before="180" w:after="6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</w:r>
    </w:p>
    <w:p>
      <w:pPr>
        <w:pStyle w:val="Normal"/>
        <w:spacing w:before="180" w:after="6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5   AVR/Firmware – Wichtige Befehle</w:t>
      </w:r>
    </w:p>
    <w:p>
      <w:pPr>
        <w:pStyle w:val="Normal"/>
        <w:spacing w:lineRule="auto" w:line="350" w:before="0" w:after="60"/>
        <w:rPr/>
      </w:pPr>
      <w:r>
        <w:rPr>
          <w:sz w:val="20"/>
          <w:szCs w:val="20"/>
        </w:rPr>
        <w:t>Fuse Bits setzen (EINMALIG – externer 16-MHz-Quarz):</w:t>
      </w:r>
    </w:p>
    <w:p>
      <w:pPr>
        <w:pStyle w:val="Normal"/>
        <w:spacing w:lineRule="auto" w:line="300" w:before="20" w:after="20"/>
        <w:ind w:start="360"/>
        <w:rPr/>
      </w:pPr>
      <w:r>
        <w:rPr>
          <w:rFonts w:eastAsia="Courier New" w:cs="Courier New" w:ascii="Courier New" w:hAnsi="Courier New"/>
          <w:color w:val="1A3A1A"/>
          <w:sz w:val="18"/>
          <w:szCs w:val="18"/>
        </w:rPr>
        <w:t>avrdude -c usbasp -p m328p -U lfuse:w:0xFF:m -U hfuse:w:0xD9:m -U efuse:w:0xFF:m</w:t>
      </w:r>
    </w:p>
    <w:p>
      <w:pPr>
        <w:pStyle w:val="Normal"/>
        <w:spacing w:lineRule="auto" w:line="350" w:before="0" w:after="60"/>
        <w:rPr/>
      </w:pPr>
      <w:r>
        <w:rPr>
          <w:sz w:val="20"/>
          <w:szCs w:val="20"/>
        </w:rPr>
        <w:t>Firmware flashen:</w:t>
      </w:r>
    </w:p>
    <w:p>
      <w:pPr>
        <w:pStyle w:val="Normal"/>
        <w:spacing w:lineRule="auto" w:line="300" w:before="20" w:after="20"/>
        <w:ind w:start="360"/>
        <w:rPr/>
      </w:pPr>
      <w:r>
        <w:rPr>
          <w:rFonts w:eastAsia="Courier New" w:cs="Courier New" w:ascii="Courier New" w:hAnsi="Courier New"/>
          <w:color w:val="1A3A1A"/>
          <w:sz w:val="18"/>
          <w:szCs w:val="18"/>
        </w:rPr>
        <w:t>avrdude -c usbasp -p m328p -U flash:w:kaptester.hex:i</w:t>
      </w:r>
    </w:p>
    <w:p>
      <w:pPr>
        <w:pStyle w:val="Normal"/>
        <w:spacing w:lineRule="auto" w:line="350" w:before="0" w:after="60"/>
        <w:rPr/>
      </w:pPr>
      <w:r>
        <w:rPr>
          <w:sz w:val="20"/>
          <w:szCs w:val="20"/>
        </w:rPr>
        <w:t>Fuse-Bits lesen (Kontrolle):</w:t>
      </w:r>
    </w:p>
    <w:p>
      <w:pPr>
        <w:pStyle w:val="Normal"/>
        <w:spacing w:lineRule="auto" w:line="300" w:before="20" w:after="20"/>
        <w:ind w:start="360"/>
        <w:rPr/>
      </w:pPr>
      <w:r>
        <w:rPr>
          <w:rFonts w:eastAsia="Courier New" w:cs="Courier New" w:ascii="Courier New" w:hAnsi="Courier New"/>
          <w:color w:val="1A3A1A"/>
          <w:sz w:val="18"/>
          <w:szCs w:val="18"/>
        </w:rPr>
        <w:t>avrdude -c usbasp -p m328p -U lfuse:r:-:h -U hfuse:r:-:h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LFUSE 0xFF: </w:t>
      </w:r>
      <w:r>
        <w:rPr/>
        <w:t>Externer Quarz, volle Taktrate (CKSEL=1111, SUT=11)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HFUSE 0xD9: </w:t>
      </w:r>
      <w:r>
        <w:rPr/>
        <w:t>SPIEN=0 (ISP aktiv), EESAVE=1, Bootsize default, keine BOD-Abschaltung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I2C-Adresse: </w:t>
      </w:r>
      <w:r>
        <w:rPr/>
        <w:t>OLED SSD1306 → 0x3C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ADC-Referenz: </w:t>
      </w:r>
      <w:r>
        <w:rPr/>
        <w:t>ADMUX |= (1&lt;&lt;REFS1)|(1&lt;&lt;REFS0)  → interne 1,1-V-Referenz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6   V1 → V2 Änderungen (Kerninformation für Prüfung)</w:t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12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BBBBB"/>
              <w:start w:val="single" w:sz="16" w:space="0" w:color="2E75B6"/>
              <w:bottom w:val="single" w:sz="4" w:space="0" w:color="BBBBBB"/>
              <w:end w:val="single" w:sz="4" w:space="0" w:color="BBBBBB"/>
            </w:tcBorders>
            <w:shd w:color="auto" w:fill="EBF3FB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color w:val="1F4E79"/>
                <w:sz w:val="20"/>
                <w:szCs w:val="20"/>
              </w:rPr>
              <w:t>Was in V1 falsch war und wie V2 es behebt:</w:t>
            </w:r>
          </w:p>
          <w:p>
            <w:pPr>
              <w:pStyle w:val="Normal"/>
              <w:spacing w:lineRule="auto" w:line="281" w:before="0" w:after="15"/>
              <w:rPr/>
            </w:pPr>
            <w:r>
              <w:rPr/>
              <w:t>· R6 (Risikoanalyse): ATmega DIP-28-Symbol statt TQFP-32 → alle 32 Pins falsch verdrahtet → V1 nie funktionsfähig</w:t>
            </w:r>
          </w:p>
          <w:p>
            <w:pPr>
              <w:pStyle w:val="Normal"/>
              <w:spacing w:lineRule="auto" w:line="281" w:before="0" w:after="15"/>
              <w:rPr/>
            </w:pPr>
            <w:r>
              <w:rPr/>
              <w:t>· R7: Kein Serienwiderstand am Q2-Drain → Einschaltstrom bei Großelkos konnte Q2 beschädigen</w:t>
            </w:r>
          </w:p>
          <w:p>
            <w:pPr>
              <w:pStyle w:val="Normal"/>
              <w:spacing w:lineRule="auto" w:line="281" w:before="0" w:after="15"/>
              <w:rPr/>
            </w:pPr>
            <w:r>
              <w:rPr/>
              <w:t>· Q1 Gate-Teiler: R2 war 100 kΩ → VGS = −2,5 V (suboptimal) → V2: R2 = 1 MΩ → VGS ≈ −4,5 V</w:t>
            </w:r>
          </w:p>
          <w:p>
            <w:pPr>
              <w:pStyle w:val="Normal"/>
              <w:spacing w:lineRule="auto" w:line="281" w:before="0" w:after="15"/>
              <w:rPr/>
            </w:pPr>
            <w:r>
              <w:rPr/>
              <w:t>· I2C: PC4/PC5 waren no-connect → V2 neu verbunden mit SDA/SCL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7   Testpunkte – Sollwerte Überblick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0" w:noVBand="0" w:lastRow="0" w:firstColumn="0" w:lastColumn="0" w:noHBand="0" w:val="0000"/>
      </w:tblPr>
      <w:tblGrid>
        <w:gridCol w:w="799"/>
        <w:gridCol w:w="2000"/>
        <w:gridCol w:w="3438"/>
        <w:gridCol w:w="3401"/>
      </w:tblGrid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TP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Netz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Soll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Bedeutung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JTP1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USB_5V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>4,80–5,20 V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Direkt von USB-VBUS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JTP2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+5V_BOARD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>4,80–5,20 V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Nach PMOS Q1 – muss ≈ JTP1 sein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JTP4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LM317_OUT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 xml:space="preserve">≈ </w:t>
            </w:r>
            <w:r>
              <w:rPr>
                <w:b/>
                <w:bCs/>
                <w:color w:val="185FA5"/>
                <w:sz w:val="18"/>
                <w:szCs w:val="18"/>
              </w:rPr>
              <w:t>4,5 V (Leerlauf)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LM317 aktiv, kein DUT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JTP5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GND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>0 V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Massebezug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JTP6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ADC_MEAS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>0→1,1 V während Messung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Linearer Anstieg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JTP7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AVCC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 xml:space="preserve">≈ </w:t>
            </w:r>
            <w:r>
              <w:rPr>
                <w:b/>
                <w:bCs/>
                <w:color w:val="185FA5"/>
                <w:sz w:val="18"/>
                <w:szCs w:val="18"/>
              </w:rPr>
              <w:t>+5V_BOARD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ADC-Versorgung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JTP8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RESET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 xml:space="preserve">≈ </w:t>
            </w:r>
            <w:r>
              <w:rPr>
                <w:b/>
                <w:bCs/>
                <w:color w:val="185FA5"/>
                <w:sz w:val="18"/>
                <w:szCs w:val="18"/>
              </w:rPr>
              <w:t>5 V (Ruhe)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ATmega läuft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JTP9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MEAS_NODE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>0→1,1 V während Messung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Wie JTP6 aber vor Filter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JTP10</w:t>
            </w:r>
          </w:p>
        </w:tc>
        <w:tc>
          <w:tcPr>
            <w:tcW w:w="200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DISCH_GATE</w:t>
            </w:r>
          </w:p>
        </w:tc>
        <w:tc>
          <w:tcPr>
            <w:tcW w:w="3438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185FA5"/>
                <w:sz w:val="18"/>
                <w:szCs w:val="18"/>
              </w:rPr>
              <w:t>&lt; 0,1 V (Ruhe) / 5 V (Entladen)</w:t>
            </w:r>
          </w:p>
        </w:tc>
        <w:tc>
          <w:tcPr>
            <w:tcW w:w="34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555555"/>
                <w:sz w:val="17"/>
                <w:szCs w:val="17"/>
              </w:rPr>
              <w:t>Q2 gesperrt im Ruhezustand</w:t>
            </w:r>
          </w:p>
        </w:tc>
      </w:tr>
    </w:tbl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8   Prüflingsdaten (für Abgabe)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Name: </w:t>
      </w:r>
      <w:r>
        <w:rPr/>
        <w:t>Nico Schmidt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Prüflingsnummer: </w:t>
      </w:r>
      <w:r>
        <w:rPr/>
        <w:t>(133)-1251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Ausbildungsberuf: </w:t>
      </w:r>
      <w:r>
        <w:rPr/>
        <w:t>Elektroniker für Geräte und Systeme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Ausbildungsbetrieb: </w:t>
      </w:r>
      <w:r>
        <w:rPr/>
        <w:t>GBS TEMPEST und Service GmbH, Von-Braun-Straße 8, 49356 Diepholz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Projektverantwortlicher: </w:t>
      </w:r>
      <w:r>
        <w:rPr/>
        <w:t>Andreas Moosmann  ·  Tel. 05441 9758100/01  ·  a.moosmamn@gbs-tempest.de</w:t>
      </w:r>
    </w:p>
    <w:p>
      <w:pPr>
        <w:pStyle w:val="Normal"/>
        <w:spacing w:lineRule="auto" w:line="319" w:before="0" w:after="30"/>
        <w:ind w:start="360"/>
        <w:rPr/>
      </w:pPr>
      <w:r>
        <w:rPr>
          <w:b/>
          <w:bCs/>
          <w:color w:val="2E75B6"/>
        </w:rPr>
        <w:t xml:space="preserve">IHK: </w:t>
      </w:r>
      <w:r>
        <w:rPr/>
        <w:t>IHK Osnabrück – Emsland – Grafschaft Bentheim, Neuer Graben 38, 49074 Osnabrück</w:t>
      </w:r>
    </w:p>
    <w:p>
      <w:pPr>
        <w:pStyle w:val="Normal"/>
        <w:spacing w:lineRule="auto" w:line="319" w:before="0" w:after="30"/>
        <w:ind w:start="360"/>
        <w:rPr/>
      </w:pPr>
      <w:bookmarkStart w:id="0" w:name="_GoBack"/>
      <w:bookmarkEnd w:id="0"/>
      <w:r>
        <w:rPr>
          <w:b/>
          <w:bCs/>
          <w:color w:val="2E75B6"/>
        </w:rPr>
        <w:t xml:space="preserve">Prüfungsdatum: </w:t>
      </w:r>
      <w:r>
        <w:rPr/>
        <w:t>05.05.2026 (schriftliche Prüfung + Doku-Abgabe)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pBdr>
          <w:bottom w:val="single" w:sz="6" w:space="1" w:color="2E75B6"/>
        </w:pBdr>
        <w:rPr/>
      </w:pPr>
      <w:r>
        <w:rPr/>
      </w:r>
    </w:p>
    <w:p>
      <w:pPr>
        <w:pStyle w:val="Normal"/>
        <w:spacing w:before="180" w:after="60"/>
        <w:rPr/>
      </w:pPr>
      <w:r>
        <w:rPr>
          <w:b/>
          <w:bCs/>
          <w:color w:val="1F4E79"/>
          <w:sz w:val="24"/>
          <w:szCs w:val="24"/>
        </w:rPr>
        <w:t>9   Doku-Checkliste final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>✓</w:t>
      </w:r>
      <w:r>
        <w:rPr>
          <w:b/>
          <w:bCs/>
          <w:color w:val="999999"/>
        </w:rPr>
        <w:t xml:space="preserve">  </w:t>
      </w:r>
      <w:r>
        <w:rPr>
          <w:b/>
          <w:bCs/>
        </w:rPr>
        <w:t>Deckblatt (IHK-Formular)</w:t>
      </w:r>
      <w:r>
        <w:rPr>
          <w:color w:val="666666"/>
          <w:sz w:val="17"/>
          <w:szCs w:val="17"/>
        </w:rPr>
        <w:t xml:space="preserve">  →  PDF – ausgefüllt und unterschrieben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>✓</w:t>
      </w:r>
      <w:r>
        <w:rPr>
          <w:b/>
          <w:bCs/>
          <w:color w:val="999999"/>
        </w:rPr>
        <w:t xml:space="preserve">  </w:t>
      </w:r>
      <w:r>
        <w:rPr>
          <w:b/>
          <w:bCs/>
        </w:rPr>
        <w:t>Erklärung (IHK-Formular)</w:t>
      </w:r>
      <w:r>
        <w:rPr>
          <w:color w:val="666666"/>
          <w:sz w:val="17"/>
          <w:szCs w:val="17"/>
        </w:rPr>
        <w:t xml:space="preserve">  →  PDF – ausgefüllt und unterschrieben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>✓</w:t>
      </w:r>
      <w:r>
        <w:rPr>
          <w:b/>
          <w:bCs/>
          <w:color w:val="999999"/>
        </w:rPr>
        <w:t xml:space="preserve">  </w:t>
      </w:r>
      <w:r>
        <w:rPr>
          <w:b/>
          <w:bCs/>
        </w:rPr>
        <w:t>Kopie PAO-Antrag</w:t>
      </w:r>
      <w:r>
        <w:rPr>
          <w:color w:val="666666"/>
          <w:sz w:val="17"/>
          <w:szCs w:val="17"/>
        </w:rPr>
        <w:t xml:space="preserve">  →  PDF – beigefügt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Kurzbeschreibung IST/SOLL</w:t>
      </w:r>
      <w:r>
        <w:rPr>
          <w:color w:val="666666"/>
          <w:sz w:val="17"/>
          <w:szCs w:val="17"/>
        </w:rPr>
        <w:t xml:space="preserve">  →  DOCX – max. 1 Seite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Dokumentenübersicht Anlagen</w:t>
      </w:r>
      <w:r>
        <w:rPr>
          <w:color w:val="666666"/>
          <w:sz w:val="17"/>
          <w:szCs w:val="17"/>
        </w:rPr>
        <w:t xml:space="preserve">  →  DOCX – Seite 2 Kurzbeschreibung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Kurzbeschreibung der Phasen</w:t>
      </w:r>
      <w:r>
        <w:rPr>
          <w:color w:val="666666"/>
          <w:sz w:val="17"/>
          <w:szCs w:val="17"/>
        </w:rPr>
        <w:t xml:space="preserve">  →  DOCX – max. 5 Seiten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Lastenheft V2</w:t>
      </w:r>
      <w:r>
        <w:rPr>
          <w:color w:val="666666"/>
          <w:sz w:val="17"/>
          <w:szCs w:val="17"/>
        </w:rPr>
        <w:t xml:space="preserve">  →  DOCX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Blockschaltbild</w:t>
      </w:r>
      <w:r>
        <w:rPr>
          <w:color w:val="666666"/>
          <w:sz w:val="17"/>
          <w:szCs w:val="17"/>
        </w:rPr>
        <w:t xml:space="preserve">  →  PNG/PDF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Technische Schaltungsbeschreibung</w:t>
      </w:r>
      <w:r>
        <w:rPr>
          <w:color w:val="666666"/>
          <w:sz w:val="17"/>
          <w:szCs w:val="17"/>
        </w:rPr>
        <w:t xml:space="preserve">  →  DOCX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>✓</w:t>
      </w:r>
      <w:r>
        <w:rPr>
          <w:b/>
          <w:bCs/>
          <w:color w:val="D4700A"/>
        </w:rPr>
        <w:t xml:space="preserve">  </w:t>
      </w:r>
      <w:r>
        <w:rPr>
          <w:b/>
          <w:bCs/>
        </w:rPr>
        <w:t>Schaltplanauszug V2 (KiCad PDF)</w:t>
      </w:r>
      <w:r>
        <w:rPr>
          <w:color w:val="666666"/>
          <w:sz w:val="17"/>
          <w:szCs w:val="17"/>
        </w:rPr>
        <w:t xml:space="preserve">  →  PDF – aus KiCad exportieren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Ablaufplan V2</w:t>
      </w:r>
      <w:r>
        <w:rPr>
          <w:color w:val="666666"/>
          <w:sz w:val="17"/>
          <w:szCs w:val="17"/>
        </w:rPr>
        <w:t xml:space="preserve">  →  DOCX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BOM V2</w:t>
      </w:r>
      <w:r>
        <w:rPr>
          <w:color w:val="666666"/>
          <w:sz w:val="17"/>
          <w:szCs w:val="17"/>
        </w:rPr>
        <w:t xml:space="preserve">  →  DOCX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Schnittstellentabelle V2</w:t>
      </w:r>
      <w:r>
        <w:rPr>
          <w:color w:val="666666"/>
          <w:sz w:val="17"/>
          <w:szCs w:val="17"/>
        </w:rPr>
        <w:t xml:space="preserve">  →  DOCX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Risikoanalyse V2 (R1–R7)</w:t>
      </w:r>
      <w:r>
        <w:rPr>
          <w:color w:val="666666"/>
          <w:sz w:val="17"/>
          <w:szCs w:val="17"/>
        </w:rPr>
        <w:t xml:space="preserve">  →  DOCX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>✓</w:t>
      </w:r>
      <w:r>
        <w:rPr>
          <w:b/>
          <w:bCs/>
          <w:color w:val="D4700A"/>
        </w:rPr>
        <w:t xml:space="preserve">  </w:t>
      </w:r>
      <w:r>
        <w:rPr>
          <w:b/>
          <w:bCs/>
        </w:rPr>
        <w:t>Löt- und Montageprotokoll V2</w:t>
      </w:r>
      <w:r>
        <w:rPr>
          <w:color w:val="666666"/>
          <w:sz w:val="17"/>
          <w:szCs w:val="17"/>
        </w:rPr>
        <w:t xml:space="preserve">  →  DOCX – nach Löten ausfüllen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D4700A"/>
        </w:rPr>
        <w:t xml:space="preserve">⏳  </w:t>
      </w:r>
      <w:r>
        <w:rPr>
          <w:b/>
          <w:bCs/>
        </w:rPr>
        <w:t>Fotos Bestückung V2</w:t>
      </w:r>
      <w:r>
        <w:rPr>
          <w:color w:val="666666"/>
          <w:sz w:val="17"/>
          <w:szCs w:val="17"/>
        </w:rPr>
        <w:t xml:space="preserve">  →  JPG – nach Löten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D4700A"/>
        </w:rPr>
        <w:t xml:space="preserve">⏳  </w:t>
      </w:r>
      <w:r>
        <w:rPr>
          <w:b/>
          <w:bCs/>
        </w:rPr>
        <w:t>Inbetriebnahmeprotokoll V2</w:t>
      </w:r>
      <w:r>
        <w:rPr>
          <w:color w:val="666666"/>
          <w:sz w:val="17"/>
          <w:szCs w:val="17"/>
        </w:rPr>
        <w:t xml:space="preserve">  →  DOCX – nach IBN ausfüllen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D4700A"/>
        </w:rPr>
        <w:t xml:space="preserve">⏳  </w:t>
      </w:r>
      <w:r>
        <w:rPr>
          <w:b/>
          <w:bCs/>
        </w:rPr>
        <w:t>Messprotokoll V2</w:t>
      </w:r>
      <w:r>
        <w:rPr>
          <w:color w:val="666666"/>
          <w:sz w:val="17"/>
          <w:szCs w:val="17"/>
        </w:rPr>
        <w:t xml:space="preserve">  →  DOCX – nach Messung ausfüllen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D4700A"/>
        </w:rPr>
        <w:t xml:space="preserve">⏳  </w:t>
      </w:r>
      <w:r>
        <w:rPr>
          <w:b/>
          <w:bCs/>
        </w:rPr>
        <w:t>Abnahmeprotokoll V2</w:t>
      </w:r>
      <w:r>
        <w:rPr>
          <w:color w:val="666666"/>
          <w:sz w:val="17"/>
          <w:szCs w:val="17"/>
        </w:rPr>
        <w:t xml:space="preserve">  →  DOCX – nach Abnahme ausfüllen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Bedienungsanleitung V2</w:t>
      </w:r>
      <w:r>
        <w:rPr>
          <w:color w:val="666666"/>
          <w:sz w:val="17"/>
          <w:szCs w:val="17"/>
        </w:rPr>
        <w:t xml:space="preserve">  →  DOCX – fertig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>✓</w:t>
      </w:r>
      <w:r>
        <w:rPr>
          <w:b/>
          <w:bCs/>
          <w:color w:val="D4700A"/>
        </w:rPr>
        <w:t xml:space="preserve">  </w:t>
      </w:r>
      <w:r>
        <w:rPr>
          <w:b/>
          <w:bCs/>
        </w:rPr>
        <w:t>Fazit / Selbsteinschätzung</w:t>
      </w:r>
      <w:r>
        <w:rPr>
          <w:color w:val="666666"/>
          <w:sz w:val="17"/>
          <w:szCs w:val="17"/>
        </w:rPr>
        <w:t xml:space="preserve">  →  DOCX – nach IBN schreiben</w:t>
      </w:r>
    </w:p>
    <w:p>
      <w:pPr>
        <w:pStyle w:val="Normal"/>
        <w:spacing w:lineRule="auto" w:line="300" w:before="0" w:after="15"/>
        <w:ind w:start="200"/>
        <w:rPr/>
      </w:pPr>
      <w:r>
        <w:rPr>
          <w:b/>
          <w:bCs/>
          <w:color w:val="1E8449"/>
        </w:rPr>
        <w:t xml:space="preserve">✓  </w:t>
      </w:r>
      <w:r>
        <w:rPr>
          <w:b/>
          <w:bCs/>
        </w:rPr>
        <w:t>Datenblätter (Anhang)</w:t>
      </w:r>
      <w:r>
        <w:rPr>
          <w:color w:val="666666"/>
          <w:sz w:val="17"/>
          <w:szCs w:val="17"/>
        </w:rPr>
        <w:t xml:space="preserve">  →  PDF – ATmega, LM317L, IRLML6402, 2N7002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Persönliche Referenz / README  ·  Nico Schmidt  · 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LibreOffice/25.8.6.2$Windows_X86_64 LibreOffice_project/b4b39682cd9868fa725bc664aff94278d315bd04</Application>
  <AppVersion>15.0000</AppVersion>
  <Pages>3</Pages>
  <Words>731</Words>
  <Characters>4141</Characters>
  <CharactersWithSpaces>4898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2026-04-26T13:34:00Z</dcterms:created>
  <dc:creator>Un-named</dc:creator>
  <dc:description/>
  <dc:language>de-DE</dc:language>
  <cp:lastModifiedBy/>
  <dcterms:modified xsi:type="dcterms:W3CDTF">2026-05-23T19:04:12Z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