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9638" w:type="dxa"/>
        <w:jc w:val="start"/>
        <w:tblInd w:w="0" w:type="dxa"/>
        <w:tblLayout w:type="fixed"/>
        <w:tblCellMar>
          <w:top w:w="160" w:type="dxa"/>
          <w:start w:w="240" w:type="dxa"/>
          <w:bottom w:w="160" w:type="dxa"/>
          <w:end w:w="240" w:type="dxa"/>
        </w:tblCellMar>
      </w:tblPr>
      <w:tblGrid>
        <w:gridCol w:w="9638"/>
      </w:tblGrid>
      <w:tr>
        <w:trPr/>
        <w:tc>
          <w:tcPr>
            <w:tcW w:w="9638" w:type="dxa"/>
            <w:tcBorders/>
            <w:shd w:fill="1F4E79" w:val="clear"/>
          </w:tcPr>
          <w:p>
            <w:pPr>
              <w:pStyle w:val="Normal"/>
              <w:jc w:val="center"/>
              <w:rPr/>
            </w:pPr>
            <w:r>
              <w:rPr>
                <w:rFonts w:eastAsia="Arial" w:cs="Arial"/>
                <w:b/>
                <w:bCs/>
                <w:color w:val="FFFFFF"/>
                <w:sz w:val="28"/>
                <w:szCs w:val="28"/>
              </w:rPr>
              <w:t>Technische Schaltungsbeschreibung</w:t>
            </w:r>
          </w:p>
          <w:p>
            <w:pPr>
              <w:pStyle w:val="Normal"/>
              <w:jc w:val="center"/>
              <w:rPr/>
            </w:pPr>
            <w:r>
              <w:rPr>
                <w:rFonts w:eastAsia="Arial" w:cs="Arial"/>
                <w:color w:val="BDD7EE"/>
                <w:sz w:val="20"/>
                <w:szCs w:val="20"/>
              </w:rPr>
              <w:t>KapTester V2  │  Nico Schmidt  │  IHK Osnabrück AP2 2026</w:t>
            </w:r>
          </w:p>
        </w:tc>
      </w:tr>
    </w:tbl>
    <w:p>
      <w:pPr>
        <w:pStyle w:val="Normal"/>
        <w:spacing w:before="140" w:after="0"/>
        <w:rPr/>
      </w:pPr>
      <w:r>
        <w:rPr/>
      </w:r>
    </w:p>
    <w:p>
      <w:pPr>
        <w:pStyle w:val="Normal"/>
        <w:spacing w:lineRule="auto" w:line="360" w:before="0" w:after="60"/>
        <w:rPr/>
      </w:pPr>
      <w:r>
        <w:rPr>
          <w:rFonts w:eastAsia="Arial" w:cs="Arial"/>
          <w:b w:val="false"/>
          <w:bCs w:val="false"/>
          <w:sz w:val="22"/>
          <w:szCs w:val="22"/>
        </w:rPr>
        <w:t>Diese Beschreibung erläutert alle Funktionsblöcke der V2-Platine in der Reihenfolge des Signalpfads von der Stromversorgung bis zur Messwertausgabe. Alle Bauteil-Bezeichnungen beziehen sich auf den aktuellen Schaltplan V2 (KiCad).</w:t>
      </w:r>
    </w:p>
    <w:p>
      <w:pPr>
        <w:pStyle w:val="Normal"/>
        <w:spacing w:before="100" w:after="0"/>
        <w:rPr/>
      </w:pPr>
      <w:r>
        <w:rPr/>
      </w:r>
    </w:p>
    <w:p>
      <w:pPr>
        <w:pStyle w:val="Normal"/>
        <w:pBdr>
          <w:bottom w:val="single" w:sz="6" w:space="1" w:color="2E75B6"/>
        </w:pBdr>
        <w:spacing w:before="0" w:after="0"/>
        <w:rPr/>
      </w:pPr>
      <w:r>
        <w:rPr/>
      </w:r>
    </w:p>
    <w:p>
      <w:pPr>
        <w:pStyle w:val="Normal"/>
        <w:spacing w:before="180" w:after="60"/>
        <w:rPr/>
      </w:pPr>
      <w:r>
        <w:rPr>
          <w:rFonts w:eastAsia="Arial" w:cs="Arial"/>
          <w:b/>
          <w:bCs/>
          <w:color w:val="1F4E79"/>
          <w:sz w:val="24"/>
          <w:szCs w:val="24"/>
        </w:rPr>
        <w:t>1.  Stromversorgung</w:t>
      </w:r>
      <w:r>
        <w:rPr>
          <w:rFonts w:eastAsia="Arial" w:cs="Arial"/>
          <w:b w:val="false"/>
          <w:bCs w:val="false"/>
          <w:color w:val="666666"/>
          <w:sz w:val="20"/>
          <w:szCs w:val="20"/>
        </w:rPr>
        <w:t xml:space="preserve">   – J1 – USB Micro-B</w:t>
      </w:r>
    </w:p>
    <w:p>
      <w:pPr>
        <w:pStyle w:val="Normal"/>
        <w:spacing w:lineRule="auto" w:line="360" w:before="0" w:after="60"/>
        <w:rPr/>
      </w:pPr>
      <w:r>
        <w:rPr>
          <w:rFonts w:eastAsia="Arial" w:cs="Arial"/>
          <w:b w:val="false"/>
          <w:bCs w:val="false"/>
          <w:sz w:val="22"/>
          <w:szCs w:val="22"/>
        </w:rPr>
        <w:t>Sobald ein USB-Kabel eingesteckt wird, liegen an VBUS 5 V an. Der USB-Standard liefert bis zu 500 mA – für diese Schaltung mit maximal ~50 mA mehr als ausreichend. Die D+/D−-Datenleitungen sind bewusst nicht angeschlossen (no-connect), da nur die Versorgung benötigt wird.</w:t>
      </w:r>
    </w:p>
    <w:p>
      <w:pPr>
        <w:pStyle w:val="Normal"/>
        <w:pBdr>
          <w:bottom w:val="single" w:sz="6" w:space="1" w:color="2E75B6"/>
        </w:pBdr>
        <w:spacing w:before="0" w:after="0"/>
        <w:rPr/>
      </w:pPr>
      <w:r>
        <w:rPr/>
      </w:r>
    </w:p>
    <w:p>
      <w:pPr>
        <w:pStyle w:val="Normal"/>
        <w:spacing w:before="180" w:after="60"/>
        <w:rPr/>
      </w:pPr>
      <w:r>
        <w:rPr>
          <w:rFonts w:eastAsia="Arial" w:cs="Arial"/>
          <w:b/>
          <w:bCs/>
          <w:color w:val="1F4E79"/>
          <w:sz w:val="24"/>
          <w:szCs w:val="24"/>
        </w:rPr>
        <w:t>2.  Verpolschutz</w:t>
      </w:r>
      <w:r>
        <w:rPr>
          <w:rFonts w:eastAsia="Arial" w:cs="Arial"/>
          <w:b w:val="false"/>
          <w:bCs w:val="false"/>
          <w:color w:val="666666"/>
          <w:sz w:val="20"/>
          <w:szCs w:val="20"/>
        </w:rPr>
        <w:t xml:space="preserve">   – Q1 (IRLML6402, PMOS) + R2 (1 MΩ) + R3 (100 kΩ)</w:t>
      </w:r>
    </w:p>
    <w:p>
      <w:pPr>
        <w:pStyle w:val="Normal"/>
        <w:spacing w:lineRule="auto" w:line="360" w:before="0" w:after="60"/>
        <w:rPr/>
      </w:pPr>
      <w:r>
        <w:rPr>
          <w:rFonts w:eastAsia="Arial" w:cs="Arial"/>
          <w:b w:val="false"/>
          <w:bCs w:val="false"/>
          <w:sz w:val="22"/>
          <w:szCs w:val="22"/>
        </w:rPr>
        <w:t>Die 5 V von USB gelangen zuerst durch Q1, einen P-Kanal-MOSFET. R2 (1 MΩ, nach +USB_5V) und R3 (100 kΩ, nach GND) bilden einen Spannungsteiler: V_Gate ≈ 0,45 V, damit VGS ≈ −4,55 V. Das schaltet Q1 sicher und vollständig durch. Erst nach Q1 entsteht das interne Netz +5V_BOARD, das alle weiteren Stufen speist. Bei Verpolung oder Überspannung bleibt Q1 gesperrt und schützt die gesamte Schaltung.</w:t>
      </w:r>
    </w:p>
    <w:tbl>
      <w:tblPr>
        <w:tblW w:w="9638" w:type="dxa"/>
        <w:jc w:val="start"/>
        <w:tblInd w:w="0" w:type="dxa"/>
        <w:tblLayout w:type="fixed"/>
        <w:tblCellMar>
          <w:top w:w="80" w:type="dxa"/>
          <w:start w:w="160" w:type="dxa"/>
          <w:bottom w:w="80" w:type="dxa"/>
          <w:end w:w="160" w:type="dxa"/>
        </w:tblCellMar>
      </w:tblPr>
      <w:tblGrid>
        <w:gridCol w:w="9638"/>
      </w:tblGrid>
      <w:tr>
        <w:trPr/>
        <w:tc>
          <w:tcPr>
            <w:tcW w:w="9638" w:type="dxa"/>
            <w:tcBorders>
              <w:top w:val="single" w:sz="4" w:space="0" w:color="BBBBBB"/>
              <w:start w:val="single" w:sz="4" w:space="0" w:color="BBBBBB"/>
              <w:bottom w:val="single" w:sz="4" w:space="0" w:color="BBBBBB"/>
              <w:end w:val="single" w:sz="4" w:space="0" w:color="BBBBBB"/>
            </w:tcBorders>
            <w:shd w:fill="FFF9E6" w:val="clear"/>
          </w:tcPr>
          <w:p>
            <w:pPr>
              <w:pStyle w:val="Normal"/>
              <w:rPr/>
            </w:pPr>
            <w:r>
              <w:rPr>
                <w:rFonts w:eastAsia="Arial" w:cs="Arial"/>
                <w:b/>
                <w:bCs/>
                <w:color w:val="B45309"/>
                <w:sz w:val="20"/>
                <w:szCs w:val="20"/>
              </w:rPr>
              <w:t xml:space="preserve">Hinweis V2: </w:t>
            </w:r>
            <w:r>
              <w:rPr>
                <w:rFonts w:eastAsia="Arial" w:cs="Arial"/>
                <w:color w:val="555555"/>
                <w:sz w:val="20"/>
                <w:szCs w:val="20"/>
              </w:rPr>
              <w:t>V2-Änderung: R2 wurde von 100 kΩ auf 1 MΩ geändert. Damit liegt VGS bei ca. −4,5 V statt −2,5 V → robusteres Einschalten des PMOS.</w:t>
            </w:r>
          </w:p>
        </w:tc>
      </w:tr>
    </w:tbl>
    <w:p>
      <w:pPr>
        <w:pStyle w:val="Normal"/>
        <w:pBdr>
          <w:bottom w:val="single" w:sz="6" w:space="1" w:color="2E75B6"/>
        </w:pBdr>
        <w:spacing w:before="0" w:after="0"/>
        <w:rPr/>
      </w:pPr>
      <w:r>
        <w:rPr/>
      </w:r>
    </w:p>
    <w:p>
      <w:pPr>
        <w:pStyle w:val="Normal"/>
        <w:spacing w:before="180" w:after="60"/>
        <w:rPr/>
      </w:pPr>
      <w:r>
        <w:rPr>
          <w:rFonts w:eastAsia="Arial" w:cs="Arial"/>
          <w:b/>
          <w:bCs/>
          <w:color w:val="1F4E79"/>
          <w:sz w:val="24"/>
          <w:szCs w:val="24"/>
        </w:rPr>
        <w:t>3.  Statusanzeige</w:t>
      </w:r>
      <w:r>
        <w:rPr>
          <w:rFonts w:eastAsia="Arial" w:cs="Arial"/>
          <w:b w:val="false"/>
          <w:bCs w:val="false"/>
          <w:color w:val="666666"/>
          <w:sz w:val="20"/>
          <w:szCs w:val="20"/>
        </w:rPr>
        <w:t xml:space="preserve">   – D1 (LED grün, LED_PWR) + R6 (330 Ω)  ·  D2 (LED rot, LED_ERR) + R7 (330 Ω)</w:t>
      </w:r>
    </w:p>
    <w:p>
      <w:pPr>
        <w:pStyle w:val="Normal"/>
        <w:spacing w:lineRule="auto" w:line="360" w:before="0" w:after="60"/>
        <w:rPr/>
      </w:pPr>
      <w:r>
        <w:rPr>
          <w:rFonts w:eastAsia="Arial" w:cs="Arial"/>
          <w:b w:val="false"/>
          <w:bCs w:val="false"/>
          <w:sz w:val="22"/>
          <w:szCs w:val="22"/>
        </w:rPr>
        <w:t>Sobald +5V_BOARD anliegt, kann D1 (grüne LED) leuchten. R6 begrenzt den Strom: (5 V − 2 V) / 330 Ω ≈ 9 mA – gut sichtbar, nicht überlastet. D2 (rote LED) mit R7 ist identisch aufgebaut, wird jedoch vom ATmega aktiv gesteuert, z. B. bei Timeout oder Überbereich.</w:t>
      </w:r>
    </w:p>
    <w:p>
      <w:pPr>
        <w:pStyle w:val="Normal"/>
        <w:pBdr>
          <w:bottom w:val="single" w:sz="6" w:space="1" w:color="2E75B6"/>
        </w:pBdr>
        <w:spacing w:before="0" w:after="0"/>
        <w:rPr/>
      </w:pPr>
      <w:r>
        <w:rPr/>
      </w:r>
    </w:p>
    <w:p>
      <w:pPr>
        <w:pStyle w:val="Normal"/>
        <w:spacing w:before="180" w:after="60"/>
        <w:rPr/>
      </w:pPr>
      <w:r>
        <w:rPr>
          <w:rFonts w:eastAsia="Arial" w:cs="Arial"/>
          <w:b/>
          <w:bCs/>
          <w:color w:val="1F4E79"/>
          <w:sz w:val="24"/>
          <w:szCs w:val="24"/>
        </w:rPr>
        <w:t>4.  Start-Taster</w:t>
      </w:r>
      <w:r>
        <w:rPr>
          <w:rFonts w:eastAsia="Arial" w:cs="Arial"/>
          <w:b w:val="false"/>
          <w:bCs w:val="false"/>
          <w:color w:val="666666"/>
          <w:sz w:val="20"/>
          <w:szCs w:val="20"/>
        </w:rPr>
        <w:t xml:space="preserve">   – SW1 + R10 (10 kΩ Pull-Up)</w:t>
      </w:r>
    </w:p>
    <w:p>
      <w:pPr>
        <w:pStyle w:val="Normal"/>
        <w:spacing w:lineRule="auto" w:line="360" w:before="0" w:after="60"/>
        <w:rPr/>
      </w:pPr>
      <w:r>
        <w:rPr>
          <w:rFonts w:eastAsia="Arial" w:cs="Arial"/>
          <w:b w:val="false"/>
          <w:bCs w:val="false"/>
          <w:sz w:val="22"/>
          <w:szCs w:val="22"/>
        </w:rPr>
        <w:t>R10 hält den Pin START_BTN (ATmega PC2) im Ruhezustand über +5V_BOARD auf High-Pegel. Beim Drücken von SW1 wird der Pin auf GND gezogen → Low-Pegel → ATmega startet die Messung. C8 (10 nF) parallel zu SW1 wirkt als Entprellkondensator.</w:t>
      </w:r>
    </w:p>
    <w:p>
      <w:pPr>
        <w:pStyle w:val="Normal"/>
        <w:pBdr>
          <w:bottom w:val="single" w:sz="6" w:space="1" w:color="2E75B6"/>
        </w:pBdr>
        <w:spacing w:before="0" w:after="0"/>
        <w:rPr/>
      </w:pPr>
      <w:r>
        <w:rPr/>
      </w:r>
    </w:p>
    <w:p>
      <w:pPr>
        <w:pStyle w:val="Normal"/>
        <w:spacing w:before="180" w:after="60"/>
        <w:rPr>
          <w:rFonts w:ascii="Arial" w:hAnsi="Arial" w:eastAsia="Arial" w:cs="Arial"/>
          <w:b/>
          <w:bCs/>
          <w:color w:val="1F4E79"/>
          <w:sz w:val="24"/>
          <w:szCs w:val="24"/>
        </w:rPr>
      </w:pPr>
      <w:r>
        <w:rPr>
          <w:rFonts w:eastAsia="Arial" w:cs="Arial"/>
          <w:b/>
          <w:bCs/>
          <w:color w:val="1F4E79"/>
          <w:sz w:val="24"/>
          <w:szCs w:val="24"/>
        </w:rPr>
      </w:r>
    </w:p>
    <w:p>
      <w:pPr>
        <w:pStyle w:val="Normal"/>
        <w:spacing w:before="180" w:after="60"/>
        <w:rPr>
          <w:rFonts w:ascii="Arial" w:hAnsi="Arial" w:eastAsia="Arial" w:cs="Arial"/>
          <w:b/>
          <w:bCs/>
          <w:color w:val="1F4E79"/>
          <w:sz w:val="24"/>
          <w:szCs w:val="24"/>
        </w:rPr>
      </w:pPr>
      <w:r>
        <w:rPr>
          <w:rFonts w:eastAsia="Arial" w:cs="Arial"/>
          <w:b/>
          <w:bCs/>
          <w:color w:val="1F4E79"/>
          <w:sz w:val="24"/>
          <w:szCs w:val="24"/>
        </w:rPr>
      </w:r>
    </w:p>
    <w:p>
      <w:pPr>
        <w:pStyle w:val="Normal"/>
        <w:spacing w:before="180" w:after="60"/>
        <w:rPr>
          <w:rFonts w:ascii="Arial" w:hAnsi="Arial" w:eastAsia="Arial" w:cs="Arial"/>
          <w:b/>
          <w:bCs/>
          <w:color w:val="1F4E79"/>
          <w:sz w:val="24"/>
          <w:szCs w:val="24"/>
        </w:rPr>
      </w:pPr>
      <w:r>
        <w:rPr>
          <w:rFonts w:eastAsia="Arial" w:cs="Arial"/>
          <w:b/>
          <w:bCs/>
          <w:color w:val="1F4E79"/>
          <w:sz w:val="24"/>
          <w:szCs w:val="24"/>
        </w:rPr>
      </w:r>
    </w:p>
    <w:p>
      <w:pPr>
        <w:pStyle w:val="Normal"/>
        <w:spacing w:before="180" w:after="60"/>
        <w:rPr/>
      </w:pPr>
      <w:r>
        <w:rPr>
          <w:rFonts w:eastAsia="Arial" w:cs="Arial"/>
          <w:b/>
          <w:bCs/>
          <w:color w:val="1F4E79"/>
          <w:sz w:val="24"/>
          <w:szCs w:val="24"/>
        </w:rPr>
        <w:t>5.  Konstantstromquelle</w:t>
      </w:r>
      <w:r>
        <w:rPr>
          <w:rFonts w:eastAsia="Arial" w:cs="Arial"/>
          <w:b w:val="false"/>
          <w:bCs w:val="false"/>
          <w:color w:val="666666"/>
          <w:sz w:val="20"/>
          <w:szCs w:val="20"/>
        </w:rPr>
        <w:t xml:space="preserve">   – U2 (LM317L, SOT-89) + R8 (1,2 kΩ)</w:t>
      </w:r>
    </w:p>
    <w:p>
      <w:pPr>
        <w:pStyle w:val="Normal"/>
        <w:spacing w:lineRule="auto" w:line="360" w:before="0" w:after="60"/>
        <w:rPr/>
      </w:pPr>
      <w:r>
        <w:rPr>
          <w:rFonts w:eastAsia="Arial" w:cs="Arial"/>
          <w:b w:val="false"/>
          <w:bCs w:val="false"/>
          <w:sz w:val="22"/>
          <w:szCs w:val="22"/>
        </w:rPr>
        <w:t>Der LM317 ist das Herzstück der Messtechnik. Zwischen VO (Ausgang) und ADJ (Stelleingang) liegt R8 (1,2 kΩ). Der LM317 hält intern immer genau 1,25 V über R8, unabhängig von der Last. Daraus ergibt sich ein konstanter Strom: I = 1,25 V / 1.200 Ω = 1,042 mA. Dieser Strom fließt durch den angeschlossenen Kondensator und lädt ihn linear auf.</w:t>
      </w:r>
    </w:p>
    <w:p>
      <w:pPr>
        <w:pStyle w:val="Normal"/>
        <w:pBdr>
          <w:bottom w:val="single" w:sz="6" w:space="1" w:color="2E75B6"/>
        </w:pBdr>
        <w:spacing w:before="0" w:after="0"/>
        <w:rPr/>
      </w:pPr>
      <w:r>
        <w:rPr/>
      </w:r>
    </w:p>
    <w:p>
      <w:pPr>
        <w:pStyle w:val="Normal"/>
        <w:spacing w:before="180" w:after="60"/>
        <w:rPr/>
      </w:pPr>
      <w:r>
        <w:rPr>
          <w:rFonts w:eastAsia="Arial" w:cs="Arial"/>
          <w:b/>
          <w:bCs/>
          <w:color w:val="1F4E79"/>
          <w:sz w:val="24"/>
          <w:szCs w:val="24"/>
        </w:rPr>
        <w:t>6.  DUT-Anschluss</w:t>
      </w:r>
      <w:r>
        <w:rPr>
          <w:rFonts w:eastAsia="Arial" w:cs="Arial"/>
          <w:b w:val="false"/>
          <w:bCs w:val="false"/>
          <w:color w:val="666666"/>
          <w:sz w:val="20"/>
          <w:szCs w:val="20"/>
        </w:rPr>
        <w:t xml:space="preserve">   – J3 (Schraubklemme, 2-polig)</w:t>
      </w:r>
    </w:p>
    <w:p>
      <w:pPr>
        <w:pStyle w:val="Normal"/>
        <w:spacing w:lineRule="auto" w:line="360" w:before="0" w:after="60"/>
        <w:rPr/>
      </w:pPr>
      <w:r>
        <w:rPr>
          <w:rFonts w:eastAsia="Arial" w:cs="Arial"/>
          <w:b w:val="false"/>
          <w:bCs w:val="false"/>
          <w:sz w:val="22"/>
          <w:szCs w:val="22"/>
        </w:rPr>
        <w:t>An J3 wird der zu messende Kondensator angeschlossen: Pin 1 = MEAS_NODE (Plus), Pin 2 = GND (Minus). Der 1,042-mA-Konstantstrom aus dem LM317 fließt in den Kondensator und lädt ihn linear auf. Der entscheidende Vorteil gegenüber der RC-Methode: Bei konstantem Strom steigt die Spannung am Kondensator exakt linear mit der Zeit an.</w:t>
      </w:r>
    </w:p>
    <w:p>
      <w:pPr>
        <w:pStyle w:val="Normal"/>
        <w:pBdr>
          <w:bottom w:val="single" w:sz="6" w:space="1" w:color="2E75B6"/>
        </w:pBdr>
        <w:spacing w:before="0" w:after="0"/>
        <w:rPr/>
      </w:pPr>
      <w:r>
        <w:rPr/>
      </w:r>
    </w:p>
    <w:p>
      <w:pPr>
        <w:pStyle w:val="Normal"/>
        <w:spacing w:before="180" w:after="60"/>
        <w:rPr/>
      </w:pPr>
      <w:r>
        <w:rPr>
          <w:rFonts w:eastAsia="Arial" w:cs="Arial"/>
          <w:b/>
          <w:bCs/>
          <w:color w:val="1F4E79"/>
          <w:sz w:val="24"/>
          <w:szCs w:val="24"/>
        </w:rPr>
        <w:t>7.  Messprinzip und ADC-Formel</w:t>
      </w:r>
      <w:r>
        <w:rPr>
          <w:rFonts w:eastAsia="Arial" w:cs="Arial"/>
          <w:b w:val="false"/>
          <w:bCs w:val="false"/>
          <w:color w:val="666666"/>
          <w:sz w:val="20"/>
          <w:szCs w:val="20"/>
        </w:rPr>
        <w:t xml:space="preserve">   – U1 (ATmega328P-AU, ADC0/PC0)</w:t>
      </w:r>
    </w:p>
    <w:p>
      <w:pPr>
        <w:pStyle w:val="Normal"/>
        <w:spacing w:lineRule="auto" w:line="360" w:before="0" w:after="60"/>
        <w:rPr/>
      </w:pPr>
      <w:r>
        <w:rPr>
          <w:rFonts w:eastAsia="Arial" w:cs="Arial"/>
          <w:b w:val="false"/>
          <w:bCs w:val="false"/>
          <w:sz w:val="22"/>
          <w:szCs w:val="22"/>
        </w:rPr>
        <w:t>Während der Kondensator lädt, steigt MEAS_NODE linear: U(t) = (I × t) / C. Umgestellt: C = I × t / U. Der ATmega misst die Zeit t (mit einem 16-Bit-Timer) bis die Spannung U die interne 1,1-V-Referenz erreicht. Da die interne Referenz stabiler als AVCC ist, ist die Schwelle präzise definiert. Bei 100 µF: t = 100×10⁻⁶ × 1,1 / 0,001042 ≈ 0,106 s – gut messbar.</w:t>
      </w:r>
    </w:p>
    <w:p>
      <w:pPr>
        <w:pStyle w:val="Normal"/>
        <w:pBdr>
          <w:bottom w:val="single" w:sz="6" w:space="1" w:color="2E75B6"/>
        </w:pBdr>
        <w:spacing w:before="0" w:after="0"/>
        <w:rPr/>
      </w:pPr>
      <w:r>
        <w:rPr/>
      </w:r>
    </w:p>
    <w:p>
      <w:pPr>
        <w:pStyle w:val="Normal"/>
        <w:spacing w:before="180" w:after="60"/>
        <w:rPr/>
      </w:pPr>
      <w:r>
        <w:rPr>
          <w:rFonts w:eastAsia="Arial" w:cs="Arial"/>
          <w:b/>
          <w:bCs/>
          <w:color w:val="1F4E79"/>
          <w:sz w:val="24"/>
          <w:szCs w:val="24"/>
        </w:rPr>
        <w:t>8.  ADC-Eingangsfilter</w:t>
      </w:r>
      <w:r>
        <w:rPr>
          <w:rFonts w:eastAsia="Arial" w:cs="Arial"/>
          <w:b w:val="false"/>
          <w:bCs w:val="false"/>
          <w:color w:val="666666"/>
          <w:sz w:val="20"/>
          <w:szCs w:val="20"/>
        </w:rPr>
        <w:t xml:space="preserve">   – R1 (1 kΩ) + C8 (10 nF)</w:t>
      </w:r>
    </w:p>
    <w:p>
      <w:pPr>
        <w:pStyle w:val="Normal"/>
        <w:spacing w:lineRule="auto" w:line="360" w:before="0" w:after="60"/>
        <w:rPr>
          <w:rFonts w:eastAsia="Arial" w:cs="Arial"/>
          <w:b w:val="false"/>
          <w:bCs w:val="false"/>
          <w:sz w:val="22"/>
          <w:szCs w:val="22"/>
        </w:rPr>
      </w:pPr>
      <w:r>
        <w:rPr>
          <w:rFonts w:eastAsia="Arial" w:cs="Arial"/>
          <w:b w:val="false"/>
          <w:bCs w:val="false"/>
          <w:sz w:val="22"/>
          <w:szCs w:val="22"/>
        </w:rPr>
        <w:t xml:space="preserve">R1 (1 kΩ) bildet einen Schutzwiderstand vor dem ADC-Eingang (ESD-Schutz, PC0/ADC0). Ein zusätzlicher Filterkondensator ist nicht bestückt. </w:t>
      </w:r>
    </w:p>
    <w:p>
      <w:pPr>
        <w:pStyle w:val="Normal"/>
        <w:pBdr>
          <w:bottom w:val="single" w:sz="6" w:space="1" w:color="2E75B6"/>
        </w:pBdr>
        <w:spacing w:before="0" w:after="0"/>
        <w:rPr/>
      </w:pPr>
      <w:r>
        <w:rPr/>
      </w:r>
    </w:p>
    <w:p>
      <w:pPr>
        <w:pStyle w:val="Normal"/>
        <w:spacing w:before="180" w:after="60"/>
        <w:rPr/>
      </w:pPr>
      <w:r>
        <w:rPr>
          <w:rFonts w:eastAsia="Arial" w:cs="Arial"/>
          <w:b/>
          <w:bCs/>
          <w:color w:val="1F4E79"/>
          <w:sz w:val="24"/>
          <w:szCs w:val="24"/>
        </w:rPr>
        <w:t>9.  Mikrocontroller</w:t>
      </w:r>
      <w:r>
        <w:rPr>
          <w:rFonts w:eastAsia="Arial" w:cs="Arial"/>
          <w:b w:val="false"/>
          <w:bCs w:val="false"/>
          <w:color w:val="666666"/>
          <w:sz w:val="20"/>
          <w:szCs w:val="20"/>
        </w:rPr>
        <w:t xml:space="preserve">   – U1 (ATmega328P-AU, TQFP-32)</w:t>
      </w:r>
    </w:p>
    <w:p>
      <w:pPr>
        <w:pStyle w:val="Normal"/>
        <w:spacing w:lineRule="auto" w:line="360" w:before="0" w:after="60"/>
        <w:rPr/>
      </w:pPr>
      <w:r>
        <w:rPr>
          <w:rFonts w:eastAsia="Arial" w:cs="Arial"/>
          <w:b w:val="false"/>
          <w:bCs w:val="false"/>
          <w:sz w:val="22"/>
          <w:szCs w:val="22"/>
        </w:rPr>
        <w:t>Der ATmega ist das Steuergehirn: Er liest SW1 (PC2), steuert D1/D2 (PD2, PD3), gibt das Entladesignal aus (PB1 → DISCH_GATE), misst die Spannung (PC0 = ADC0) und berechnet die Kapazität. Wichtige Konfiguration in der Firmware: ADC-Referenz = interne 1,1 V (ADMUX |= (1&lt;&lt;REFS1)|(1&lt;&lt;REFS0)), Timer im CTC-Modus, ADC-Prescaler = 128 (125 kHz bei 16 MHz).</w:t>
      </w:r>
    </w:p>
    <w:p>
      <w:pPr>
        <w:pStyle w:val="Normal"/>
        <w:pBdr>
          <w:bottom w:val="single" w:sz="6" w:space="1" w:color="2E75B6"/>
        </w:pBdr>
        <w:spacing w:before="0" w:after="0"/>
        <w:rPr/>
      </w:pPr>
      <w:r>
        <w:rPr/>
      </w:r>
    </w:p>
    <w:p>
      <w:pPr>
        <w:pStyle w:val="Normal"/>
        <w:spacing w:before="180" w:after="60"/>
        <w:rPr/>
      </w:pPr>
      <w:r>
        <w:rPr>
          <w:rFonts w:eastAsia="Arial" w:cs="Arial"/>
          <w:b/>
          <w:bCs/>
          <w:color w:val="1F4E79"/>
          <w:sz w:val="24"/>
          <w:szCs w:val="24"/>
        </w:rPr>
        <w:t>10.  Taktgenerator</w:t>
      </w:r>
      <w:r>
        <w:rPr>
          <w:rFonts w:eastAsia="Arial" w:cs="Arial"/>
          <w:b w:val="false"/>
          <w:bCs w:val="false"/>
          <w:color w:val="666666"/>
          <w:sz w:val="20"/>
          <w:szCs w:val="20"/>
        </w:rPr>
        <w:t xml:space="preserve">   – Y1 (16 MHz Quarz, HC-49/U) + C6/C7 (22 pF)</w:t>
      </w:r>
    </w:p>
    <w:p>
      <w:pPr>
        <w:pStyle w:val="Normal"/>
        <w:spacing w:lineRule="auto" w:line="360" w:before="0" w:after="60"/>
        <w:rPr/>
      </w:pPr>
      <w:r>
        <w:rPr>
          <w:rFonts w:eastAsia="Arial" w:cs="Arial"/>
          <w:b w:val="false"/>
          <w:bCs w:val="false"/>
          <w:sz w:val="22"/>
          <w:szCs w:val="22"/>
        </w:rPr>
        <w:t>Der Quarz Y1 schwingt bei exakt 16 MHz. C6 und C7 (je 22 pF, direkt gegen GND) bilden den Lastkreis. Im PCB-Layout sitzen alle drei Bauteile direkt neben den XTAL-Pins mit kürzest möglichen Leiterbahnen. Die ATmega-Fuse-Bits müssen auf externen Quarz gesetzt sein (LFUSE = 0xFF).</w:t>
      </w:r>
    </w:p>
    <w:p>
      <w:pPr>
        <w:pStyle w:val="Normal"/>
        <w:pBdr>
          <w:bottom w:val="single" w:sz="6" w:space="1" w:color="2E75B6"/>
        </w:pBdr>
        <w:spacing w:before="0" w:after="0"/>
        <w:rPr/>
      </w:pPr>
      <w:r>
        <w:rPr/>
      </w:r>
    </w:p>
    <w:p>
      <w:pPr>
        <w:pStyle w:val="Normal"/>
        <w:spacing w:before="180" w:after="60"/>
        <w:rPr>
          <w:rFonts w:ascii="Arial" w:hAnsi="Arial" w:eastAsia="Arial" w:cs="Arial"/>
          <w:b/>
          <w:bCs/>
          <w:color w:val="1F4E79"/>
          <w:sz w:val="24"/>
          <w:szCs w:val="24"/>
        </w:rPr>
      </w:pPr>
      <w:r>
        <w:rPr>
          <w:rFonts w:eastAsia="Arial" w:cs="Arial"/>
          <w:b/>
          <w:bCs/>
          <w:color w:val="1F4E79"/>
          <w:sz w:val="24"/>
          <w:szCs w:val="24"/>
        </w:rPr>
      </w:r>
    </w:p>
    <w:p>
      <w:pPr>
        <w:pStyle w:val="Normal"/>
        <w:spacing w:before="180" w:after="60"/>
        <w:rPr>
          <w:rFonts w:ascii="Arial" w:hAnsi="Arial" w:eastAsia="Arial" w:cs="Arial"/>
          <w:b/>
          <w:bCs/>
          <w:color w:val="1F4E79"/>
          <w:sz w:val="24"/>
          <w:szCs w:val="24"/>
        </w:rPr>
      </w:pPr>
      <w:r>
        <w:rPr>
          <w:rFonts w:eastAsia="Arial" w:cs="Arial"/>
          <w:b/>
          <w:bCs/>
          <w:color w:val="1F4E79"/>
          <w:sz w:val="24"/>
          <w:szCs w:val="24"/>
        </w:rPr>
      </w:r>
    </w:p>
    <w:p>
      <w:pPr>
        <w:pStyle w:val="Normal"/>
        <w:spacing w:before="180" w:after="60"/>
        <w:rPr/>
      </w:pPr>
      <w:r>
        <w:rPr>
          <w:rFonts w:eastAsia="Arial" w:cs="Arial"/>
          <w:b/>
          <w:bCs/>
          <w:color w:val="1F4E79"/>
          <w:sz w:val="24"/>
          <w:szCs w:val="24"/>
        </w:rPr>
        <w:t>11.  Entladepfad</w:t>
      </w:r>
      <w:r>
        <w:rPr>
          <w:rFonts w:eastAsia="Arial" w:cs="Arial"/>
          <w:b w:val="false"/>
          <w:bCs w:val="false"/>
          <w:color w:val="666666"/>
          <w:sz w:val="20"/>
          <w:szCs w:val="20"/>
        </w:rPr>
        <w:t xml:space="preserve">   – Q2 (2N7002, NMOS) + R20 (470 Ω) + R9 (100 kΩ Gate-Pull-Down)</w:t>
      </w:r>
    </w:p>
    <w:p>
      <w:pPr>
        <w:pStyle w:val="Normal"/>
        <w:spacing w:lineRule="auto" w:line="360" w:before="0" w:after="60"/>
        <w:rPr/>
      </w:pPr>
      <w:r>
        <w:rPr>
          <w:rFonts w:eastAsia="Arial" w:cs="Arial"/>
          <w:b w:val="false"/>
          <w:bCs w:val="false"/>
          <w:sz w:val="22"/>
          <w:szCs w:val="22"/>
        </w:rPr>
        <w:t>Nach jeder Messung muss der Kondensator entladen werden. Der ATmega zieht DISCH_GATE (PB1) auf High → Q2 öffnet → Kondensator entlädt sich über R20 und Q2 nach GND. R20 (470 Ω) begrenzt den Einschaltstrom bei großen geladenen Elkos und schützt Q2. R9 (100 kΩ) hält das Gate von Q2 im Ruhezustand sicher auf Low, sodass Q2 auch bei tristatetem ATmega-Pin nicht ungewollt leitet.</w:t>
      </w:r>
    </w:p>
    <w:tbl>
      <w:tblPr>
        <w:tblW w:w="9638" w:type="dxa"/>
        <w:jc w:val="start"/>
        <w:tblInd w:w="0" w:type="dxa"/>
        <w:tblLayout w:type="fixed"/>
        <w:tblCellMar>
          <w:top w:w="80" w:type="dxa"/>
          <w:start w:w="160" w:type="dxa"/>
          <w:bottom w:w="80" w:type="dxa"/>
          <w:end w:w="160" w:type="dxa"/>
        </w:tblCellMar>
      </w:tblPr>
      <w:tblGrid>
        <w:gridCol w:w="9638"/>
      </w:tblGrid>
      <w:tr>
        <w:trPr/>
        <w:tc>
          <w:tcPr>
            <w:tcW w:w="9638" w:type="dxa"/>
            <w:tcBorders>
              <w:top w:val="single" w:sz="4" w:space="0" w:color="BBBBBB"/>
              <w:start w:val="single" w:sz="4" w:space="0" w:color="BBBBBB"/>
              <w:bottom w:val="single" w:sz="4" w:space="0" w:color="BBBBBB"/>
              <w:end w:val="single" w:sz="4" w:space="0" w:color="BBBBBB"/>
            </w:tcBorders>
            <w:shd w:fill="FFF9E6" w:val="clear"/>
          </w:tcPr>
          <w:p>
            <w:pPr>
              <w:pStyle w:val="Normal"/>
              <w:rPr/>
            </w:pPr>
            <w:r>
              <w:rPr>
                <w:rFonts w:eastAsia="Arial" w:cs="Arial"/>
                <w:b/>
                <w:bCs/>
                <w:color w:val="B45309"/>
                <w:sz w:val="20"/>
                <w:szCs w:val="20"/>
              </w:rPr>
              <w:t xml:space="preserve">Hinweis V2: </w:t>
            </w:r>
            <w:r>
              <w:rPr>
                <w:rFonts w:eastAsia="Arial" w:cs="Arial"/>
                <w:color w:val="555555"/>
                <w:sz w:val="20"/>
                <w:szCs w:val="20"/>
              </w:rPr>
              <w:t>V2-Änderung: R20 (470 Ω) neu hinzugefügt als Schutzwiderstand in Serie mit Q2-Drain. In V1 fehlte dieser – bei großen Elkos hätte der Entladeimpuls Q2 beschädigen können.</w:t>
            </w:r>
          </w:p>
        </w:tc>
      </w:tr>
    </w:tbl>
    <w:p>
      <w:pPr>
        <w:pStyle w:val="Normal"/>
        <w:pBdr>
          <w:bottom w:val="single" w:sz="6" w:space="1" w:color="2E75B6"/>
        </w:pBdr>
        <w:spacing w:before="0" w:after="0"/>
        <w:rPr/>
      </w:pPr>
      <w:r>
        <w:rPr/>
      </w:r>
    </w:p>
    <w:p>
      <w:pPr>
        <w:pStyle w:val="Normal"/>
        <w:spacing w:before="180" w:after="60"/>
        <w:rPr/>
      </w:pPr>
      <w:r>
        <w:rPr>
          <w:rFonts w:eastAsia="Arial" w:cs="Arial"/>
          <w:b/>
          <w:bCs/>
          <w:color w:val="1F4E79"/>
          <w:sz w:val="24"/>
          <w:szCs w:val="24"/>
        </w:rPr>
        <w:t>12.  Abblockkondensatoren</w:t>
      </w:r>
      <w:r>
        <w:rPr>
          <w:rFonts w:eastAsia="Arial" w:cs="Arial"/>
          <w:b w:val="false"/>
          <w:bCs w:val="false"/>
          <w:color w:val="666666"/>
          <w:sz w:val="20"/>
          <w:szCs w:val="20"/>
        </w:rPr>
        <w:t xml:space="preserve">   – C1/C2/C5 (je 100 nF, VCC)  ·  C3 (100 nF, VCC)  ·  C4 (100 nF, AVCC)</w:t>
      </w:r>
    </w:p>
    <w:p>
      <w:pPr>
        <w:pStyle w:val="Normal"/>
        <w:spacing w:lineRule="auto" w:line="360" w:before="0" w:after="60"/>
        <w:rPr/>
      </w:pPr>
      <w:r>
        <w:rPr>
          <w:rFonts w:eastAsia="Arial" w:cs="Arial"/>
          <w:b w:val="false"/>
          <w:bCs w:val="false"/>
          <w:sz w:val="22"/>
          <w:szCs w:val="22"/>
        </w:rPr>
        <w:t>Fünf Keramikkondensatoren direkt an den Versorgungspins des ATmega unterdrücken Stromspitzen beim Schalten digitaler Ausgänge. C4 (AVCC) ist besonders kritisch: Störungen auf der Analog-Versorgung würden den ADC-Messwert direkt verfälschen.</w:t>
      </w:r>
    </w:p>
    <w:p>
      <w:pPr>
        <w:pStyle w:val="Normal"/>
        <w:pBdr>
          <w:bottom w:val="single" w:sz="6" w:space="1" w:color="2E75B6"/>
        </w:pBdr>
        <w:spacing w:before="0" w:after="0"/>
        <w:rPr/>
      </w:pPr>
      <w:r>
        <w:rPr/>
      </w:r>
    </w:p>
    <w:p>
      <w:pPr>
        <w:pStyle w:val="Normal"/>
        <w:spacing w:before="180" w:after="60"/>
        <w:rPr/>
      </w:pPr>
      <w:r>
        <w:rPr>
          <w:rFonts w:eastAsia="Arial" w:cs="Arial"/>
          <w:b/>
          <w:bCs/>
          <w:color w:val="1F4E79"/>
          <w:sz w:val="24"/>
          <w:szCs w:val="24"/>
        </w:rPr>
        <w:t>13.  ISP-Programmierschnittstelle</w:t>
      </w:r>
      <w:r>
        <w:rPr>
          <w:rFonts w:eastAsia="Arial" w:cs="Arial"/>
          <w:b w:val="false"/>
          <w:bCs w:val="false"/>
          <w:color w:val="666666"/>
          <w:sz w:val="20"/>
          <w:szCs w:val="20"/>
        </w:rPr>
        <w:t xml:space="preserve">   – J4 (AVR-ISP-6, 2×3-Header, 2,54 mm)</w:t>
      </w:r>
    </w:p>
    <w:p>
      <w:pPr>
        <w:pStyle w:val="Normal"/>
        <w:spacing w:lineRule="auto" w:line="360" w:before="0" w:after="60"/>
        <w:rPr/>
      </w:pPr>
      <w:r>
        <w:rPr>
          <w:rFonts w:eastAsia="Arial" w:cs="Arial"/>
          <w:b w:val="false"/>
          <w:bCs w:val="false"/>
          <w:sz w:val="22"/>
          <w:szCs w:val="22"/>
        </w:rPr>
        <w:t>Über J4 wird die Firmware mit einem USBasp-Programmer (10-Pin→6-Pin-Adapter) in den ATmega geladen. Die sechs Pins: MOSI (Daten rein), MISO (Daten raus), SCK (Takt), RESET (Programmierstart), VCC (+5V), GND.</w:t>
      </w:r>
    </w:p>
    <w:p>
      <w:pPr>
        <w:pStyle w:val="Normal"/>
        <w:pBdr>
          <w:bottom w:val="single" w:sz="6" w:space="1" w:color="2E75B6"/>
        </w:pBdr>
        <w:spacing w:before="0" w:after="0"/>
        <w:rPr/>
      </w:pPr>
      <w:r>
        <w:rPr/>
      </w:r>
    </w:p>
    <w:p>
      <w:pPr>
        <w:pStyle w:val="Normal"/>
        <w:spacing w:before="180" w:after="60"/>
        <w:rPr/>
      </w:pPr>
      <w:r>
        <w:rPr>
          <w:rFonts w:eastAsia="Arial" w:cs="Arial"/>
          <w:b/>
          <w:bCs/>
          <w:color w:val="1F4E79"/>
          <w:sz w:val="24"/>
          <w:szCs w:val="24"/>
        </w:rPr>
        <w:t>14.  OLED-Anzeige</w:t>
      </w:r>
      <w:r>
        <w:rPr>
          <w:rFonts w:eastAsia="Arial" w:cs="Arial"/>
          <w:b w:val="false"/>
          <w:bCs w:val="false"/>
          <w:color w:val="666666"/>
          <w:sz w:val="20"/>
          <w:szCs w:val="20"/>
        </w:rPr>
        <w:t xml:space="preserve">   – J2 (4-Pin-Header, 2,54 mm)  ·  R4/R5 (je 4,7 kΩ, I²C Pull-Up)</w:t>
      </w:r>
    </w:p>
    <w:p>
      <w:pPr>
        <w:pStyle w:val="Normal"/>
        <w:spacing w:lineRule="auto" w:line="360" w:before="0" w:after="60"/>
        <w:rPr/>
      </w:pPr>
      <w:r>
        <w:rPr>
          <w:rFonts w:eastAsia="Arial" w:cs="Arial"/>
          <w:b w:val="false"/>
          <w:bCs w:val="false"/>
          <w:sz w:val="22"/>
          <w:szCs w:val="22"/>
        </w:rPr>
        <w:t>J2 führt die I²C-Leitungen SDA (PC4) und SCL (PC5) des ATmega heraus. R4 und R5 sind die I²C-Bus-Pull-Up-Widerstände nach +5V_BOARD. Ein SSD1306-OLED (0,96", I²C-Adresse 0x3C) zeigt den gemessenen Kapazitätswert an. Pinbelegung J2: Pin 1 = GND, Pin 2 = VCC, Pin 3 = SCL, Pin 4 = SDA.</w:t>
      </w:r>
    </w:p>
    <w:p>
      <w:pPr>
        <w:pStyle w:val="Normal"/>
        <w:spacing w:before="140" w:after="0"/>
        <w:rPr/>
      </w:pPr>
      <w:r>
        <w:rPr/>
      </w:r>
    </w:p>
    <w:p>
      <w:pPr>
        <w:pStyle w:val="Normal"/>
        <w:pBdr>
          <w:bottom w:val="single" w:sz="6" w:space="1" w:color="2E75B6"/>
        </w:pBdr>
        <w:spacing w:before="0" w:after="0"/>
        <w:rPr/>
      </w:pPr>
      <w:r>
        <w:rPr/>
      </w:r>
    </w:p>
    <w:p>
      <w:pPr>
        <w:pStyle w:val="Normal"/>
        <w:spacing w:before="140" w:after="80"/>
        <w:rPr/>
      </w:pPr>
      <w:r>
        <w:rPr>
          <w:rFonts w:eastAsia="Arial" w:cs="Arial"/>
          <w:b/>
          <w:bCs/>
          <w:color w:val="1F4E79"/>
          <w:sz w:val="24"/>
          <w:szCs w:val="24"/>
        </w:rPr>
        <w:t>Messpfad – Zusammenfassung</w:t>
      </w:r>
    </w:p>
    <w:tbl>
      <w:tblPr>
        <w:tblW w:w="9638" w:type="dxa"/>
        <w:jc w:val="start"/>
        <w:tblInd w:w="0" w:type="dxa"/>
        <w:tblLayout w:type="fixed"/>
        <w:tblCellMar>
          <w:top w:w="120" w:type="dxa"/>
          <w:start w:w="200" w:type="dxa"/>
          <w:bottom w:w="120" w:type="dxa"/>
          <w:end w:w="200" w:type="dxa"/>
        </w:tblCellMar>
      </w:tblPr>
      <w:tblGrid>
        <w:gridCol w:w="9638"/>
      </w:tblGrid>
      <w:tr>
        <w:trPr/>
        <w:tc>
          <w:tcPr>
            <w:tcW w:w="9638" w:type="dxa"/>
            <w:tcBorders>
              <w:top w:val="single" w:sz="4" w:space="0" w:color="BBBBBB"/>
              <w:start w:val="single" w:sz="4" w:space="0" w:color="BBBBBB"/>
              <w:bottom w:val="single" w:sz="4" w:space="0" w:color="BBBBBB"/>
              <w:end w:val="single" w:sz="4" w:space="0" w:color="BBBBBB"/>
            </w:tcBorders>
            <w:shd w:fill="EBF3FB" w:val="clear"/>
          </w:tcPr>
          <w:p>
            <w:pPr>
              <w:pStyle w:val="Normal"/>
              <w:jc w:val="center"/>
              <w:rPr/>
            </w:pPr>
            <w:r>
              <w:rPr>
                <w:rFonts w:eastAsia="Arial" w:cs="Arial"/>
                <w:color w:val="1F4E79"/>
                <w:sz w:val="20"/>
                <w:szCs w:val="20"/>
              </w:rPr>
              <w:t>USB  →  Q1 (Verpolschutz)  →  +5V_BOARD  →  U2/LM317 (1,042 mA)  →  J3/DUT-Kondensator lädt linear  →  ATmega misst Zeit bis 1,1 V am ADC  →  C = I × t / U  →  OLED zeigt Ergebnis  →  Q2 + R20 entladen Kondensator</w:t>
            </w:r>
          </w:p>
        </w:tc>
      </w:tr>
    </w:tbl>
    <w:p>
      <w:pPr>
        <w:pStyle w:val="Normal"/>
        <w:spacing w:before="120" w:after="0"/>
        <w:rPr/>
      </w:pPr>
      <w:r>
        <w:rPr/>
      </w:r>
    </w:p>
    <w:p>
      <w:pPr>
        <w:pStyle w:val="Normal"/>
        <w:pBdr>
          <w:top w:val="single" w:sz="4" w:space="1" w:color="AAAAAA"/>
        </w:pBdr>
        <w:spacing w:before="80" w:after="0"/>
        <w:jc w:val="end"/>
        <w:rPr/>
      </w:pPr>
      <w:r>
        <w:rPr>
          <w:rFonts w:eastAsia="Arial" w:cs="Arial"/>
          <w:color w:val="888888"/>
          <w:sz w:val="16"/>
          <w:szCs w:val="16"/>
        </w:rPr>
        <w:t>KapTester V2  ·  Nico Schmidt  ·  IHK Osnabrück  ·  AP2 2026</w:t>
      </w:r>
    </w:p>
    <w:sectPr>
      <w:type w:val="nextPage"/>
      <w:pgSz w:w="11906" w:h="16838"/>
      <w:pgMar w:left="1134" w:right="1134" w:gutter="0" w:header="0" w:top="1134" w:footer="0"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s>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de-DE"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Arial" w:hAnsi="Arial" w:eastAsia="Arial" w:cs="Arial"/>
      <w:color w:val="auto"/>
      <w:kern w:val="0"/>
      <w:sz w:val="22"/>
      <w:szCs w:val="22"/>
      <w:lang w:val="de-DE" w:eastAsia="zh-CN" w:bidi="hi-IN"/>
    </w:rPr>
  </w:style>
  <w:style w:type="paragraph" w:styleId="Heading1">
    <w:name w:val="heading 1"/>
    <w:basedOn w:val="berschriftuser"/>
    <w:qFormat/>
    <w:pPr/>
    <w:rPr>
      <w:color w:val="2E74B5"/>
      <w:sz w:val="32"/>
      <w:szCs w:val="32"/>
    </w:rPr>
  </w:style>
  <w:style w:type="paragraph" w:styleId="Heading2">
    <w:name w:val="heading 2"/>
    <w:basedOn w:val="berschriftuser"/>
    <w:qFormat/>
    <w:pPr/>
    <w:rPr>
      <w:color w:val="2E74B5"/>
      <w:sz w:val="26"/>
      <w:szCs w:val="26"/>
    </w:rPr>
  </w:style>
  <w:style w:type="paragraph" w:styleId="Heading3">
    <w:name w:val="heading 3"/>
    <w:basedOn w:val="berschriftuser"/>
    <w:qFormat/>
    <w:pPr/>
    <w:rPr>
      <w:color w:val="1F4D78"/>
      <w:sz w:val="24"/>
      <w:szCs w:val="24"/>
    </w:rPr>
  </w:style>
  <w:style w:type="paragraph" w:styleId="Heading4">
    <w:name w:val="heading 4"/>
    <w:basedOn w:val="berschriftuser"/>
    <w:qFormat/>
    <w:pPr/>
    <w:rPr>
      <w:i/>
      <w:iCs/>
      <w:color w:val="2E74B5"/>
    </w:rPr>
  </w:style>
  <w:style w:type="paragraph" w:styleId="Heading5">
    <w:name w:val="heading 5"/>
    <w:basedOn w:val="berschriftuser"/>
    <w:qFormat/>
    <w:pPr/>
    <w:rPr>
      <w:color w:val="2E74B5"/>
    </w:rPr>
  </w:style>
  <w:style w:type="paragraph" w:styleId="Heading6">
    <w:name w:val="heading 6"/>
    <w:basedOn w:val="berschriftuser"/>
    <w:qFormat/>
    <w:pPr/>
    <w:rPr>
      <w:color w:val="1F4D78"/>
    </w:rPr>
  </w:style>
  <w:style w:type="character" w:styleId="Hyperlink">
    <w:name w:val="Hyperlink"/>
    <w:uiPriority w:val="99"/>
    <w:unhideWhenUsed/>
    <w:rPr>
      <w:color w:val="0563C1"/>
      <w:u w:val="single"/>
    </w:rPr>
  </w:style>
  <w:style w:type="character" w:styleId="Funotenzeichenuser">
    <w:name w:val="Fußnotenzeichen (user)"/>
    <w:uiPriority w:val="99"/>
    <w:semiHidden/>
    <w:unhideWhenUsed/>
    <w:qFormat/>
    <w:rPr>
      <w:vertAlign w:val="superscript"/>
    </w:rPr>
  </w:style>
  <w:style w:type="character" w:styleId="Funotenzeichen">
    <w:name w:val="Fußnotenzeichen"/>
    <w:qFormat/>
    <w:rPr>
      <w:vertAlign w:val="superscript"/>
    </w:rPr>
  </w:style>
  <w:style w:type="character" w:styleId="FootnoteReference">
    <w:name w:val="footnote reference"/>
    <w:rPr>
      <w:vertAlign w:val="superscript"/>
    </w:rPr>
  </w:style>
  <w:style w:type="character" w:styleId="FootnoteTextChar">
    <w:name w:val="Footnote Text Char"/>
    <w:uiPriority w:val="99"/>
    <w:semiHidden/>
    <w:unhideWhenUsed/>
    <w:qFormat/>
    <w:rPr>
      <w:sz w:val="20"/>
      <w:szCs w:val="20"/>
    </w:rPr>
  </w:style>
  <w:style w:type="character" w:styleId="Endnotenzeichenuser">
    <w:name w:val="Endnotenzeichen (user)"/>
    <w:uiPriority w:val="99"/>
    <w:semiHidden/>
    <w:unhideWhenUsed/>
    <w:qFormat/>
    <w:rPr>
      <w:vertAlign w:val="superscript"/>
    </w:rPr>
  </w:style>
  <w:style w:type="character" w:styleId="Endnotenzeichen">
    <w:name w:val="Endnotenzeichen"/>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berschrift">
    <w:name w:val="Überschrift"/>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Verzeichnis">
    <w:name w:val="Verzeichnis"/>
    <w:basedOn w:val="Normal"/>
    <w:qFormat/>
    <w:pPr>
      <w:suppressLineNumbers/>
    </w:pPr>
    <w:rPr>
      <w:rFonts w:cs="Arial"/>
    </w:rPr>
  </w:style>
  <w:style w:type="paragraph" w:styleId="berschriftuser">
    <w:name w:val="Überschrift (user)"/>
    <w:basedOn w:val="Normal"/>
    <w:next w:val="BodyText"/>
    <w:qFormat/>
    <w:pPr>
      <w:keepNext w:val="true"/>
      <w:spacing w:before="240" w:after="120"/>
    </w:pPr>
    <w:rPr>
      <w:rFonts w:ascii="Liberation Sans" w:hAnsi="Liberation Sans" w:eastAsia="Microsoft YaHei" w:cs="Arial"/>
      <w:sz w:val="28"/>
      <w:szCs w:val="28"/>
    </w:rPr>
  </w:style>
  <w:style w:type="paragraph" w:styleId="Verzeichnisuser">
    <w:name w:val="Verzeichnis (user)"/>
    <w:basedOn w:val="Normal"/>
    <w:qFormat/>
    <w:pPr>
      <w:suppressLineNumbers/>
    </w:pPr>
    <w:rPr>
      <w:rFonts w:cs="Arial"/>
    </w:rPr>
  </w:style>
  <w:style w:type="paragraph" w:styleId="Title">
    <w:name w:val="Title"/>
    <w:basedOn w:val="berschriftuser"/>
    <w:qFormat/>
    <w:pPr/>
    <w:rPr>
      <w:sz w:val="56"/>
      <w:szCs w:val="56"/>
    </w:rPr>
  </w:style>
  <w:style w:type="paragraph" w:styleId="StrongEmphasis">
    <w:name w:val="Strong Emphasis"/>
    <w:qFormat/>
    <w:pPr>
      <w:widowControl/>
      <w:suppressAutoHyphens w:val="true"/>
      <w:bidi w:val="0"/>
      <w:spacing w:before="0" w:after="0"/>
      <w:jc w:val="start"/>
    </w:pPr>
    <w:rPr>
      <w:rFonts w:ascii="Arial" w:hAnsi="Arial" w:eastAsia="Arial" w:cs="Arial"/>
      <w:b/>
      <w:bCs/>
      <w:color w:val="auto"/>
      <w:kern w:val="0"/>
      <w:sz w:val="22"/>
      <w:szCs w:val="22"/>
      <w:lang w:val="de-DE" w:eastAsia="zh-CN" w:bidi="hi-IN"/>
    </w:rPr>
  </w:style>
  <w:style w:type="paragraph" w:styleId="ListParagraph">
    <w:name w:val="List Paragraph"/>
    <w:qFormat/>
    <w:pPr>
      <w:widowControl/>
      <w:suppressAutoHyphens w:val="true"/>
      <w:bidi w:val="0"/>
      <w:spacing w:before="0" w:after="0"/>
      <w:jc w:val="start"/>
    </w:pPr>
    <w:rPr>
      <w:rFonts w:ascii="Arial" w:hAnsi="Arial" w:eastAsia="Arial" w:cs="Arial"/>
      <w:color w:val="auto"/>
      <w:kern w:val="0"/>
      <w:sz w:val="22"/>
      <w:szCs w:val="22"/>
      <w:lang w:val="de-DE"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TotalTime>
  <Application>LibreOffice/25.8.6.2$Windows_X86_64 LibreOffice_project/b4b39682cd9868fa725bc664aff94278d315bd04</Application>
  <AppVersion>15.0000</AppVersion>
  <Pages>3</Pages>
  <Words>954</Words>
  <Characters>4928</Characters>
  <CharactersWithSpaces>5934</CharactersWithSpaces>
  <Paragraphs>36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2026-04-26T09:14:39Z</dcterms:created>
  <dc:creator>Un-named</dc:creator>
  <dc:description/>
  <dc:language>de-DE</dc:language>
  <cp:lastModifiedBy/>
  <dcterms:modified xsi:type="dcterms:W3CDTF">2026-05-23T13:57:33Z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