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8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  <w:tblLook w:firstRow="0" w:noVBand="0" w:lastRow="0" w:firstColumn="0" w:lastColumn="0" w:noHBand="0" w:val="0000"/>
      </w:tblPr>
      <w:tblGrid>
        <w:gridCol w:w="9638"/>
      </w:tblGrid>
      <w:tr>
        <w:trPr/>
        <w:tc>
          <w:tcPr>
            <w:tcW w:w="9638" w:type="dxa"/>
            <w:tcBorders/>
            <w:shd w:color="auto" w:fill="1F4E79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  <w:sz w:val="30"/>
                <w:szCs w:val="30"/>
              </w:rPr>
              <w:t>Bauteilauswahl / BOM V2</w:t>
            </w:r>
          </w:p>
          <w:p>
            <w:pPr>
              <w:pStyle w:val="Normal"/>
              <w:jc w:val="center"/>
              <w:rPr/>
            </w:pPr>
            <w:r>
              <w:rPr>
                <w:color w:val="BDD7EE"/>
                <w:sz w:val="20"/>
                <w:szCs w:val="20"/>
              </w:rPr>
              <w:t>KapTester V2  │  Planung  │  AP2 2026</w:t>
            </w:r>
          </w:p>
        </w:tc>
      </w:tr>
    </w:tbl>
    <w:p>
      <w:pPr>
        <w:pStyle w:val="Normal"/>
        <w:spacing w:lineRule="auto" w:line="341" w:before="0" w:after="60"/>
        <w:rPr>
          <w:b/>
          <w:i/>
        </w:rPr>
      </w:pPr>
      <w:r>
        <w:rPr>
          <w:b/>
          <w:i/>
          <w:sz w:val="20"/>
          <w:szCs w:val="20"/>
        </w:rPr>
        <w:t xml:space="preserve">Alle Bauteilwerte entsprechen dem Schaltplan V2 (KiCad, Stand 26.04.2026). </w:t>
      </w:r>
      <w:bookmarkStart w:id="0" w:name="_GoBack"/>
      <w:bookmarkEnd w:id="0"/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130" w:type="dxa"/>
          <w:bottom w:w="70" w:type="dxa"/>
          <w:end w:w="130" w:type="dxa"/>
        </w:tblCellMar>
        <w:tblLook w:firstRow="0" w:noVBand="0" w:lastRow="0" w:firstColumn="0" w:lastColumn="0" w:noHBand="0" w:val="0000"/>
      </w:tblPr>
      <w:tblGrid>
        <w:gridCol w:w="866"/>
        <w:gridCol w:w="862"/>
        <w:gridCol w:w="1632"/>
        <w:gridCol w:w="2170"/>
        <w:gridCol w:w="1519"/>
        <w:gridCol w:w="2589"/>
      </w:tblGrid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Ref.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color w:val="FFFFFF"/>
              </w:rPr>
              <w:t>Menge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Wert / Typ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Gehäuse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Beschaffung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Bemerkung</w:t>
            </w:r>
          </w:p>
        </w:tc>
      </w:tr>
      <w:tr>
        <w:trPr/>
        <w:tc>
          <w:tcPr>
            <w:tcW w:w="9638" w:type="dxa"/>
            <w:gridSpan w:val="6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ICs / Aktive Bauteile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U1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6"/>
              </w:rPr>
              <w:t>ATmega328P-AU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TQFP-32 7×7mm P0.8mm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 xml:space="preserve">Microchip 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U2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LM317L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SOT-89-3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 xml:space="preserve">Konstantstromquelle 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Q1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IRLML6402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SOT-23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 xml:space="preserve">PMOS Verpolschutz 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Q2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2N7002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SOT-23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NMOS Entladepfad</w:t>
            </w:r>
          </w:p>
        </w:tc>
      </w:tr>
      <w:tr>
        <w:trPr/>
        <w:tc>
          <w:tcPr>
            <w:tcW w:w="9638" w:type="dxa"/>
            <w:gridSpan w:val="6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Widerstände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R1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 kΩ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DIN0207 P7.62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>
                <w:color w:val="444444"/>
                <w:sz w:val="17"/>
                <w:szCs w:val="17"/>
              </w:rPr>
            </w:pPr>
            <w:r>
              <w:rPr>
                <w:color w:val="444444"/>
                <w:sz w:val="17"/>
                <w:szCs w:val="17"/>
              </w:rPr>
              <w:t xml:space="preserve">ADC ESD-Schutz (in Serie) 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R2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1 MΩ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MELF MMB-0207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8B4000"/>
                <w:sz w:val="17"/>
                <w:szCs w:val="17"/>
              </w:rPr>
              <w:t xml:space="preserve">Gate-Teiler Q1 (nach +5V) 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R3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100 kΩ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MELF MMB-0207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Gate-Teiler Q1 (nach GND)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R4, R5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2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4,7 kΩ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I²C Pull-Up SDA/SCL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R6, R7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2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330 Ω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MELF MMB-0207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LED-Vorwiderstände D2/D1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R8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1,2 kΩ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DIN0207 P7.62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LM317 Setwiderstand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R9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100 kΩ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DIN0207 P7.62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 xml:space="preserve">Gate-Pull-Down Q2 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R10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10 kΩ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DIN0207 P7.62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START_BTN Pull-Up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R20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470 Ω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8B4000"/>
                <w:sz w:val="17"/>
                <w:szCs w:val="17"/>
              </w:rPr>
              <w:t xml:space="preserve">Entlade-Schutzwiderstand </w:t>
            </w:r>
          </w:p>
        </w:tc>
      </w:tr>
      <w:tr>
        <w:trPr/>
        <w:tc>
          <w:tcPr>
            <w:tcW w:w="9638" w:type="dxa"/>
            <w:gridSpan w:val="6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Kondensatoren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C1,2,5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3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100 nF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 xml:space="preserve">VCC-Abblockkondensatoren 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C3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100 nF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VCC-Abblockkondensator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C4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100 nF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 xml:space="preserve">AVCC-Abblockkondensator 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C6, C7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2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22 pF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THT Disc P2.50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Quarz-Lastkondensatoren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C8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10 nF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SMD 0805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Entpreller SW1</w:t>
            </w:r>
          </w:p>
        </w:tc>
      </w:tr>
      <w:tr>
        <w:trPr/>
        <w:tc>
          <w:tcPr>
            <w:tcW w:w="9638" w:type="dxa"/>
            <w:gridSpan w:val="6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2E75B6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Stecker / Mechanik / Anzeige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Y1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Crystal 16 MHz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HC-49/U Vertical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Taktgenerator ATmega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J1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USB Micro-B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Molex 47346-0001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Versorgungseingang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J2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 xml:space="preserve">PinHeader 1×4 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Vertical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OLED-Anschluss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J3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Schraubklemme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Phoenix MKDS P5.08 2-pol.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DUT-Anschluss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J4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AVR-ISP-6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PinHeader 2×3 P2.54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ISP-Programmierung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JTP</w:t>
            </w:r>
            <w:r>
              <w:rPr>
                <w:b/>
                <w:bCs/>
                <w:color w:val="111111"/>
                <w:sz w:val="12"/>
              </w:rPr>
              <w:t>1-10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10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Testpunkte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PinHeader 1×1 P2.54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Inbetriebnahme-Testpunkte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SW1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Taster 6×6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SW_PUSH_6mm_H5mm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Start-Taster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D1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LED grün 5 mm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LED_D5.0mm THT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LED_PWR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D2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LED rot 5 mm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LED_D5.0mm THT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color="auto" w:fill="F4F4F4" w:val="clear"/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LED_ERR</w:t>
            </w:r>
          </w:p>
        </w:tc>
      </w:tr>
      <w:tr>
        <w:trPr/>
        <w:tc>
          <w:tcPr>
            <w:tcW w:w="86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111111"/>
              </w:rPr>
              <w:t>OLED</w:t>
            </w:r>
          </w:p>
        </w:tc>
        <w:tc>
          <w:tcPr>
            <w:tcW w:w="86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color w:val="111111"/>
              </w:rPr>
              <w:t>1</w:t>
            </w:r>
          </w:p>
        </w:tc>
        <w:tc>
          <w:tcPr>
            <w:tcW w:w="1632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</w:rPr>
              <w:t>SSD1306 0,96"</w:t>
            </w:r>
          </w:p>
        </w:tc>
        <w:tc>
          <w:tcPr>
            <w:tcW w:w="2170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11111"/>
                <w:sz w:val="17"/>
                <w:szCs w:val="17"/>
              </w:rPr>
              <w:t>I²C 4-Pin</w:t>
            </w:r>
          </w:p>
        </w:tc>
        <w:tc>
          <w:tcPr>
            <w:tcW w:w="151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1E8449"/>
                <w:sz w:val="16"/>
                <w:szCs w:val="16"/>
              </w:rPr>
              <w:t>bereits da</w:t>
            </w:r>
          </w:p>
        </w:tc>
        <w:tc>
          <w:tcPr>
            <w:tcW w:w="258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444444"/>
                <w:sz w:val="17"/>
                <w:szCs w:val="17"/>
              </w:rPr>
              <w:t>Messwertanzeige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pBdr>
          <w:top w:val="single" w:sz="4" w:space="1" w:color="AAAAAA"/>
        </w:pBdr>
        <w:spacing w:before="80" w:after="0"/>
        <w:jc w:val="end"/>
        <w:rPr/>
      </w:pPr>
      <w:r>
        <w:rPr>
          <w:color w:val="888888"/>
          <w:sz w:val="16"/>
          <w:szCs w:val="16"/>
        </w:rPr>
        <w:t>KapTester V2  ·  BOM V2  ·  Nico Schmidt  ·  IHK Osnabrück AP2 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9"/>
        <w:szCs w:val="19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de-DE" w:eastAsia="de-DE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de-DE" w:eastAsia="de-DE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de-DE" w:eastAsia="de-DE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19"/>
      <w:szCs w:val="19"/>
      <w:lang w:val="de-DE" w:eastAsia="de-DE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19"/>
      <w:szCs w:val="19"/>
      <w:lang w:val="de-DE" w:eastAsia="de-DE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19"/>
      <w:szCs w:val="19"/>
      <w:lang w:val="de-DE" w:eastAsia="de-DE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unotentextZchn" w:customStyle="1">
    <w:name w:val="Fußnotentext Zchn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ntextZchn" w:customStyle="1">
    <w:name w:val="Endnotentext Zchn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de-DE" w:eastAsia="de-DE" w:bidi="ar-SA"/>
    </w:rPr>
  </w:style>
  <w:style w:type="paragraph" w:styleId="Fett1" w:customStyle="1">
    <w:name w:val="Fett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9"/>
      <w:szCs w:val="19"/>
      <w:lang w:val="de-DE" w:eastAsia="de-DE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9"/>
      <w:szCs w:val="19"/>
      <w:lang w:val="de-DE" w:eastAsia="de-DE" w:bidi="ar-SA"/>
    </w:rPr>
  </w:style>
  <w:style w:type="paragraph" w:styleId="FootnoteText">
    <w:name w:val="footnote text"/>
    <w:link w:val="Fu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paragraph" w:styleId="EndnoteText">
    <w:name w:val="endnote text"/>
    <w:link w:val="EndnotentextZchn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de-DE" w:bidi="ar-SA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LibreOffice/25.8.6.2$Windows_X86_64 LibreOffice_project/b4b39682cd9868fa725bc664aff94278d315bd04</Application>
  <AppVersion>15.0000</AppVersion>
  <Pages>1</Pages>
  <Words>333</Words>
  <Characters>1657</Characters>
  <CharactersWithSpaces>1825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2026-04-26T12:55:00Z</dcterms:created>
  <dc:creator>Un-named</dc:creator>
  <dc:description/>
  <dc:language>de-DE</dc:language>
  <cp:lastModifiedBy/>
  <dcterms:modified xsi:type="dcterms:W3CDTF">2026-05-23T14:25:55Z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