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emf" ContentType="image/x-emf"/>
  <Override PartName="/word/media/image7.png" ContentType="image/png"/>
  <Override PartName="/word/media/image5.emf" ContentType="image/x-emf"/>
  <Override PartName="/word/media/image1.png" ContentType="image/png"/>
  <Override PartName="/word/media/image3.emf" ContentType="image/x-emf"/>
  <Override PartName="/word/media/image2.emf" ContentType="image/x-emf"/>
  <Override PartName="/word/media/image4.png" ContentType="image/png"/>
  <Override PartName="/word/embeddings/oleObject4.bin" ContentType="application/vnd.openxmlformats-officedocument.oleObject"/>
  <Override PartName="/word/embeddings/oleObject3.bin" ContentType="application/vnd.openxmlformats-officedocument.oleObject"/>
  <Override PartName="/word/embeddings/oleObject2.bin" ContentType="application/vnd.openxmlformats-officedocument.oleObject"/>
  <Override PartName="/word/embeddings/oleObject1.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keepNext/>
        <w:spacing w:before="240" w:after="60"/>
        <w:rPr>
          <w:rFonts w:ascii="標楷體" w:hAnsi="標楷體" w:eastAsia="標楷體"/>
        </w:rPr>
      </w:pPr>
      <w:r>
        <w:rPr>
          <w:rFonts w:eastAsia="標楷體" w:ascii="標楷體" w:hAnsi="標楷體"/>
        </w:rPr>
        <w:t>106</w:t>
      </w:r>
      <w:r>
        <w:rPr>
          <w:rFonts w:ascii="標楷體" w:hAnsi="標楷體" w:eastAsia="標楷體"/>
        </w:rPr>
        <w:t>學年度臺中市公私立中小學科學展覽會</w:t>
      </w:r>
    </w:p>
    <w:p>
      <w:pPr>
        <w:pStyle w:val="1"/>
        <w:keepNext/>
        <w:rPr>
          <w:rFonts w:ascii="標楷體" w:hAnsi="標楷體" w:eastAsia="標楷體"/>
        </w:rPr>
      </w:pPr>
      <w:r>
        <w:rPr>
          <w:rFonts w:ascii="標楷體" w:hAnsi="標楷體" w:eastAsia="標楷體"/>
        </w:rPr>
        <w:t>作品說明書</w:t>
      </w:r>
    </w:p>
    <w:p>
      <w:pPr>
        <w:pStyle w:val="1"/>
        <w:keepNext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1"/>
        <w:keepNext/>
        <w:jc w:val="left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科　　別：生活與應用科學科（一）機電與資訊</w:t>
      </w:r>
    </w:p>
    <w:p>
      <w:pPr>
        <w:pStyle w:val="1"/>
        <w:keepNext/>
        <w:jc w:val="left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組　　別：國中組</w:t>
      </w:r>
    </w:p>
    <w:p>
      <w:pPr>
        <w:pStyle w:val="1"/>
        <w:keepNext/>
        <w:jc w:val="left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作品名稱：</w:t>
      </w:r>
      <w:r>
        <w:rPr>
          <w:rFonts w:eastAsia="標楷體" w:ascii="標楷體" w:hAnsi="標楷體"/>
        </w:rPr>
        <w:t>PID</w:t>
      </w:r>
      <w:r>
        <w:rPr>
          <w:rFonts w:ascii="標楷體" w:hAnsi="標楷體" w:eastAsia="標楷體"/>
        </w:rPr>
        <w:t>循線控制</w:t>
      </w:r>
    </w:p>
    <w:p>
      <w:pPr>
        <w:pStyle w:val="1"/>
        <w:keepNext/>
        <w:jc w:val="left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關 鍵 詞： 、 、 （最多</w:t>
      </w:r>
      <w:r>
        <w:rPr>
          <w:rFonts w:eastAsia="標楷體" w:ascii="標楷體" w:hAnsi="標楷體"/>
        </w:rPr>
        <w:t>3</w:t>
      </w:r>
      <w:r>
        <w:rPr>
          <w:rFonts w:ascii="標楷體" w:hAnsi="標楷體" w:eastAsia="標楷體"/>
        </w:rPr>
        <w:t>個）</w:t>
      </w:r>
    </w:p>
    <w:p>
      <w:pPr>
        <w:pStyle w:val="1"/>
        <w:keepNext/>
        <w:jc w:val="left"/>
        <w:rPr>
          <w:rFonts w:ascii="標楷體" w:hAnsi="標楷體" w:eastAsia="標楷體"/>
        </w:rPr>
      </w:pPr>
      <w:r>
        <w:rPr>
          <w:rFonts w:eastAsia="標楷體" w:ascii="標楷體" w:hAnsi="標楷體"/>
        </w:rPr>
      </w:r>
    </w:p>
    <w:p>
      <w:pPr>
        <w:pStyle w:val="1"/>
        <w:keepNext/>
        <w:jc w:val="left"/>
        <w:rPr>
          <w:rFonts w:ascii="標楷體" w:hAnsi="標楷體" w:eastAsia="標楷體"/>
        </w:rPr>
      </w:pPr>
      <w:r>
        <w:rPr>
          <w:rFonts w:ascii="標楷體" w:hAnsi="標楷體" w:eastAsia="標楷體"/>
        </w:rPr>
        <w:t>編 號：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  <w:r>
        <w:br w:type="page"/>
      </w:r>
    </w:p>
    <w:p>
      <w:pPr>
        <w:pStyle w:val="1"/>
        <w:keepNext/>
        <w:ind w:left="480" w:right="0" w:hanging="0"/>
        <w:jc w:val="left"/>
        <w:rPr/>
      </w:pPr>
      <w:r>
        <w:rPr/>
        <w:t>摘要</w:t>
      </w:r>
    </w:p>
    <w:p>
      <w:pPr>
        <w:pStyle w:val="Normal"/>
        <w:spacing w:lineRule="auto" w:line="360"/>
        <w:rPr/>
      </w:pPr>
      <w:r>
        <w:rPr/>
        <w:t>PID</w:t>
      </w:r>
      <w:r>
        <w:rPr/>
        <w:t>為</w:t>
      </w:r>
      <w:r>
        <w:rPr/>
        <w:t>Proportional–Integral–Derivative</w:t>
      </w:r>
      <w:r>
        <w:rPr/>
        <w:t>（比例、積分、微分）的縮寫，</w:t>
      </w:r>
    </w:p>
    <w:p>
      <w:pPr>
        <w:pStyle w:val="1"/>
        <w:keepNext/>
        <w:ind w:left="480" w:right="0" w:hanging="0"/>
        <w:jc w:val="left"/>
        <w:rPr/>
      </w:pPr>
      <w:r>
        <w:rPr/>
        <w:t>壹、研究動機</w:t>
      </w:r>
    </w:p>
    <w:p>
      <w:pPr>
        <w:pStyle w:val="Normal"/>
        <w:rPr/>
      </w:pPr>
      <w:r>
        <w:rPr/>
        <w:tab/>
      </w:r>
      <w:r>
        <w:rPr/>
        <w:t>學校買了一批</w:t>
      </w:r>
      <w:r>
        <w:rPr/>
        <w:t>Mbot</w:t>
      </w:r>
      <w:r>
        <w:rPr/>
        <w:t>循線車，它由兩顆紅外線感應器判斷路面明暗（黑白），以此傳送數據供程式使用。但這種方法只能感測到黑黑、黑白、白黑、白白四種狀況，無法準確判斷車子該如何行動。我們希望能做出更精確的循線車，因而開始了這次研究。</w:t>
      </w:r>
    </w:p>
    <w:p>
      <w:pPr>
        <w:pStyle w:val="1"/>
        <w:keepNext/>
        <w:ind w:left="480" w:right="0" w:hanging="0"/>
        <w:jc w:val="left"/>
        <w:rPr/>
      </w:pPr>
      <w:r>
        <w:rPr/>
        <w:t>貳、研究目的</w:t>
      </w:r>
    </w:p>
    <w:p>
      <w:pPr>
        <w:pStyle w:val="Normal"/>
        <w:rPr/>
      </w:pPr>
      <w:r>
        <w:rPr/>
        <w:t>一、利用</w:t>
      </w:r>
      <w:r>
        <w:rPr/>
        <w:t>PID</w:t>
      </w:r>
      <w:r>
        <w:rPr/>
        <w:t>控制自製循線車</w:t>
      </w:r>
    </w:p>
    <w:p>
      <w:pPr>
        <w:pStyle w:val="Normal"/>
        <w:rPr/>
      </w:pPr>
      <w:r>
        <w:rPr/>
        <w:t>二、研究調整各項參數對循線能力的影響</w:t>
      </w:r>
    </w:p>
    <w:p>
      <w:pPr>
        <w:pStyle w:val="1"/>
        <w:keepNext/>
        <w:ind w:left="480" w:right="0" w:hanging="0"/>
        <w:jc w:val="left"/>
        <w:rPr/>
      </w:pPr>
      <w:r>
        <w:rPr/>
        <w:t>參、研究設備及器材</w:t>
      </w:r>
    </w:p>
    <w:tbl>
      <w:tblPr>
        <w:tblW w:w="9694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3"/>
        <w:gridCol w:w="2787"/>
        <w:gridCol w:w="2060"/>
        <w:gridCol w:w="2424"/>
      </w:tblGrid>
      <w:tr>
        <w:trPr/>
        <w:tc>
          <w:tcPr>
            <w:tcW w:w="2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馬達驅動板</w:t>
            </w:r>
            <w:r>
              <w:rPr/>
              <w:t>L298N</w:t>
            </w:r>
          </w:p>
        </w:tc>
        <w:tc>
          <w:tcPr>
            <w:tcW w:w="2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紅外線感應器</w:t>
            </w:r>
            <w:r>
              <w:rPr/>
              <w:t>TCRT5000</w:t>
            </w:r>
          </w:p>
        </w:tc>
        <w:tc>
          <w:tcPr>
            <w:tcW w:w="2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1"/>
        <w:keepNext/>
        <w:ind w:left="480" w:right="0" w:hanging="0"/>
        <w:jc w:val="left"/>
        <w:rPr/>
      </w:pPr>
      <w:r>
        <w:rPr/>
        <w:t>肆、研究過程</w:t>
      </w:r>
    </w:p>
    <w:p>
      <w:pPr>
        <w:pStyle w:val="Style21"/>
        <w:rPr/>
      </w:pPr>
      <w:r>
        <w:rPr/>
        <w:t>零、車體控制程式</w:t>
      </w:r>
    </w:p>
    <w:p>
      <w:pPr>
        <w:pStyle w:val="Style21"/>
        <w:rPr/>
      </w:pPr>
      <w:r>
        <w:rPr/>
        <w:tab/>
      </w:r>
      <w:r>
        <w:rPr>
          <w:b w:val="false"/>
          <w:bCs w:val="false"/>
        </w:rPr>
        <w:t>馬達驅動：</w:t>
      </w:r>
    </w:p>
    <w:p>
      <w:pPr>
        <w:pStyle w:val="Style21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41220" cy="6141720"/>
            <wp:effectExtent l="0" t="0" r="0" b="0"/>
            <wp:wrapTopAndBottom/>
            <wp:docPr id="1" name="影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影像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614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1"/>
        <w:rPr/>
      </w:pPr>
      <w:r>
        <w:rPr/>
        <w:t>一、車體測試</w:t>
      </w:r>
    </w:p>
    <w:p>
      <w:pPr>
        <w:pStyle w:val="Normal"/>
        <w:rPr/>
      </w:pPr>
      <w:r>
        <w:rPr/>
        <w:tab/>
      </w:r>
      <w:r>
        <w:rPr/>
        <w:t>我們組裝了一輛循線車（見圖</w:t>
      </w:r>
      <w:r>
        <w:rPr/>
        <w:t>X</w:t>
      </w:r>
      <w:r>
        <w:rPr/>
        <w:t>）。為了確認這台車能正常運作，我們先進行了一系列的測試：包括車體測量、移動測試及紅外線感測範圍測試，並計算正常狀況的理論值。</w:t>
      </w:r>
    </w:p>
    <w:p>
      <w:pPr>
        <w:pStyle w:val="Normal"/>
        <w:rPr/>
      </w:pPr>
      <w:r>
        <w:rPr/>
      </w:r>
    </w:p>
    <w:p>
      <w:pPr>
        <w:pStyle w:val="Normal"/>
        <w:ind w:left="240" w:right="0" w:hanging="0"/>
        <w:rPr/>
      </w:pPr>
      <w:r>
        <w:rPr/>
        <w:t>（一）、符號說明</w:t>
      </w:r>
    </w:p>
    <w:p>
      <w:pPr>
        <w:pStyle w:val="Normal"/>
        <w:ind w:left="240" w:right="0" w:hanging="0"/>
        <w:rPr/>
      </w:pPr>
      <w:r>
        <w:rPr/>
        <w:tab/>
      </w:r>
      <w:r>
        <w:rPr/>
        <w:t>在此說明此報告中使用的符號，如下表：</w:t>
      </w:r>
    </w:p>
    <w:tbl>
      <w:tblPr>
        <w:tblW w:w="9615" w:type="dxa"/>
        <w:jc w:val="left"/>
        <w:tblInd w:w="24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0"/>
        <w:gridCol w:w="1321"/>
        <w:gridCol w:w="319"/>
        <w:gridCol w:w="2718"/>
        <w:gridCol w:w="425"/>
        <w:gridCol w:w="2835"/>
        <w:gridCol w:w="284"/>
        <w:gridCol w:w="1383"/>
      </w:tblGrid>
      <w:tr>
        <w:trPr/>
        <w:tc>
          <w:tcPr>
            <w:tcW w:w="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a</w:t>
            </w: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旋轉角度</w:t>
            </w:r>
          </w:p>
        </w:tc>
        <w:tc>
          <w:tcPr>
            <w:tcW w:w="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c</w:t>
            </w:r>
          </w:p>
        </w:tc>
        <w:tc>
          <w:tcPr>
            <w:tcW w:w="2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圓周長（繞轉產生的圓）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弧長（繞轉的移動距離）</w:t>
            </w: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</w:t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繞轉半徑</w:t>
            </w:r>
          </w:p>
        </w:tc>
      </w:tr>
      <w:tr>
        <w:trPr/>
        <w:tc>
          <w:tcPr>
            <w:tcW w:w="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</w:t>
            </w:r>
          </w:p>
        </w:tc>
        <w:tc>
          <w:tcPr>
            <w:tcW w:w="1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馬達轉速</w:t>
            </w:r>
          </w:p>
        </w:tc>
        <w:tc>
          <w:tcPr>
            <w:tcW w:w="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</w:t>
            </w:r>
          </w:p>
        </w:tc>
        <w:tc>
          <w:tcPr>
            <w:tcW w:w="27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車的移動速度</w:t>
            </w:r>
          </w:p>
        </w:tc>
        <w:tc>
          <w:tcPr>
            <w:tcW w:w="4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w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兩輪最高點距離</w:t>
            </w: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</w:t>
            </w:r>
          </w:p>
        </w:tc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運轉時間</w:t>
            </w:r>
          </w:p>
        </w:tc>
      </w:tr>
    </w:tbl>
    <w:p>
      <w:pPr>
        <w:pStyle w:val="Normal"/>
        <w:ind w:left="240" w:right="0" w:hanging="0"/>
        <w:rPr/>
      </w:pPr>
      <w:r>
        <w:rPr/>
        <w:t xml:space="preserve"> </w:t>
      </w:r>
    </w:p>
    <w:p>
      <w:pPr>
        <w:pStyle w:val="Normal"/>
        <w:ind w:left="240" w:right="0" w:firstLine="240"/>
        <w:rPr/>
      </w:pPr>
      <w:r>
        <w:rPr/>
        <w:t>繞轉是指車以等速轉向時，經相同路徑行圓周運動的過程。此外，各項編號皆由左至右，如：（</w:t>
      </w:r>
      <w:r>
        <w:rPr/>
        <w:t>r</w:t>
      </w:r>
      <w:r>
        <w:rPr>
          <w:vertAlign w:val="subscript"/>
        </w:rPr>
        <w:t>1</w:t>
      </w:r>
      <w:r>
        <w:rPr/>
        <w:t>,r</w:t>
      </w:r>
      <w:r>
        <w:rPr>
          <w:vertAlign w:val="subscript"/>
        </w:rPr>
        <w:t>2</w:t>
      </w:r>
      <w:r>
        <w:rPr/>
        <w:t>） 即代表（左馬達轉速</w:t>
      </w:r>
      <w:r>
        <w:rPr/>
        <w:t>,</w:t>
      </w:r>
      <w:r>
        <w:rPr/>
        <w:t>右馬達轉速）。</w:t>
      </w:r>
    </w:p>
    <w:p>
      <w:pPr>
        <w:pStyle w:val="Normal"/>
        <w:ind w:left="240" w:right="0" w:hanging="0"/>
        <w:rPr/>
      </w:pPr>
      <w:r>
        <w:rPr/>
      </w:r>
    </w:p>
    <w:p>
      <w:pPr>
        <w:pStyle w:val="Normal"/>
        <w:ind w:left="240" w:right="0" w:hanging="0"/>
        <w:rPr/>
      </w:pPr>
      <w:r>
        <w:rPr/>
        <w:t>（二）、車體測量與理論值計算</w:t>
      </w:r>
    </w:p>
    <w:p>
      <w:pPr>
        <w:pStyle w:val="Normal"/>
        <w:ind w:left="240" w:right="0" w:firstLine="240"/>
        <w:rPr/>
      </w:pPr>
      <w:r>
        <w:rPr/>
        <w:t>由於車體固定，左右車輪的移動路徑在理想狀況下會是同心圓。若馬達轉速</w:t>
      </w:r>
      <w:r>
        <w:rPr>
          <w:rFonts w:ascii="Cambria Math" w:hAnsi="Cambria Math"/>
        </w:rPr>
        <w:t>∝</w:t>
      </w:r>
      <w:r>
        <w:rPr/>
        <w:t>車輪移動距離，則各項數據關係可以下列方程式表示：</w:t>
      </w:r>
    </w:p>
    <w:p>
      <w:pPr>
        <w:pStyle w:val="Normal"/>
        <w:ind w:left="240" w:right="0" w:firstLine="360"/>
        <w:rPr/>
      </w:pPr>
      <w:r>
        <w:rPr/>
        <w:object>
          <v:shape id="ole_rId3" style="width:160.35pt;height:31.35pt" o:ole="">
            <v:imagedata r:id="rId4" o:title=""/>
          </v:shape>
          <o:OLEObject Type="Embed" ProgID="" ShapeID="ole_rId3" DrawAspect="Content" ObjectID="_1167425452" r:id="rId3"/>
        </w:object>
      </w:r>
      <w:r>
        <w:rPr/>
        <w:tab/>
        <w:tab/>
        <w:t>r</w:t>
      </w:r>
      <w:r>
        <w:rPr/>
        <w:t>為</w:t>
      </w:r>
      <w:r>
        <w:rPr/>
        <w:t>r1</w:t>
      </w:r>
      <w:r>
        <w:rPr/>
        <w:t>或</w:t>
      </w:r>
      <w:r>
        <w:rPr/>
        <w:t>r2</w:t>
      </w:r>
    </w:p>
    <w:p>
      <w:pPr>
        <w:pStyle w:val="Normal"/>
        <w:ind w:left="240" w:right="0" w:hanging="0"/>
        <w:rPr/>
      </w:pPr>
      <w:r>
        <w:rPr/>
        <w:t>其中</w:t>
      </w:r>
      <w:r>
        <w:rPr/>
        <w:t>a</w:t>
      </w:r>
      <w:r>
        <w:rPr/>
        <w:t>代表車體旋轉角度，</w:t>
      </w:r>
      <w:r>
        <w:rPr/>
        <w:t>d</w:t>
      </w:r>
      <w:r>
        <w:rPr/>
        <w:t>代表左輪移動距離（弧長），</w:t>
      </w:r>
      <w:r>
        <w:rPr/>
        <w:t>c</w:t>
      </w:r>
      <w:r>
        <w:rPr/>
        <w:t>代表左輪繞轉的圓周長，</w:t>
      </w:r>
      <w:r>
        <w:rPr/>
        <w:t>s</w:t>
      </w:r>
      <w:r>
        <w:rPr/>
        <w:t>代表車體移動速率，</w:t>
      </w:r>
      <w:r>
        <w:rPr/>
        <w:t>t</w:t>
      </w:r>
      <w:r>
        <w:rPr/>
        <w:t>代表馬達運轉時間，</w:t>
      </w:r>
      <w:r>
        <w:rPr/>
        <w:t>r</w:t>
      </w:r>
      <w:r>
        <w:rPr/>
        <w:t>代表繞轉圓的半徑；又因為馬達轉速</w:t>
      </w:r>
      <w:r>
        <w:rPr>
          <w:rFonts w:ascii="Cambria Math" w:hAnsi="Cambria Math" w:cs="Cambria Math"/>
        </w:rPr>
        <w:t>∝</w:t>
      </w:r>
      <w:r>
        <w:rPr/>
        <w:t>車輪移動距離</w:t>
      </w:r>
      <w:r>
        <w:rPr>
          <w:rFonts w:ascii="Cambria Math" w:hAnsi="Cambria Math" w:cs="Cambria Math"/>
        </w:rPr>
        <w:t>⇒</w:t>
      </w:r>
      <w:r>
        <w:rPr/>
        <w:t>兩馬達的轉速</w:t>
      </w:r>
      <w:r>
        <w:rPr>
          <w:rFonts w:ascii="Cambria Math" w:hAnsi="Cambria Math" w:cs="Cambria Math"/>
        </w:rPr>
        <w:t>∝</w:t>
      </w:r>
      <w:r>
        <w:rPr/>
        <w:t>兩圓的半徑</w:t>
      </w:r>
      <w:r>
        <w:rPr/>
        <w:t>r</w:t>
      </w:r>
      <w:r>
        <w:rPr>
          <w:vertAlign w:val="subscript"/>
        </w:rPr>
        <w:t>1</w:t>
      </w:r>
      <w:r>
        <w:rPr/>
        <w:t>（左）與</w:t>
      </w:r>
      <w:r>
        <w:rPr/>
        <w:t>r</w:t>
      </w:r>
      <w:r>
        <w:rPr>
          <w:vertAlign w:val="subscript"/>
        </w:rPr>
        <w:t>2</w:t>
      </w:r>
      <w:r>
        <w:rPr/>
        <w:t>（右），</w:t>
      </w:r>
      <w:r>
        <w:rPr>
          <w:rFonts w:ascii="Cambria Math" w:hAnsi="Cambria Math"/>
        </w:rPr>
        <w:t>∴</w:t>
      </w:r>
      <w:r>
        <w:rPr>
          <w:rFonts w:ascii="Cambria Math" w:hAnsi="Cambria Math"/>
        </w:rPr>
        <w:object>
          <v:shape id="ole_rId5" style="width:68pt;height:34pt" o:ole="">
            <v:imagedata r:id="rId6" o:title=""/>
          </v:shape>
          <o:OLEObject Type="Embed" ProgID="" ShapeID="ole_rId5" DrawAspect="Content" ObjectID="_868932938" r:id="rId5"/>
        </w:object>
      </w:r>
      <w:r>
        <w:rPr/>
        <w:t xml:space="preserve"> 。右輪通用此式。</w:t>
      </w:r>
    </w:p>
    <w:p>
      <w:pPr>
        <w:pStyle w:val="Normal"/>
        <w:rPr/>
      </w:pPr>
      <w:r>
        <w:rPr/>
      </w:r>
    </w:p>
    <w:tbl>
      <w:tblPr>
        <w:tblW w:w="9854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75"/>
        <w:gridCol w:w="4779"/>
      </w:tblGrid>
      <w:tr>
        <w:trPr/>
        <w:tc>
          <w:tcPr>
            <w:tcW w:w="5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drawing>
                <wp:inline distT="0" distB="0" distL="0" distR="635">
                  <wp:extent cx="3085465" cy="3186430"/>
                  <wp:effectExtent l="0" t="0" r="0" b="0"/>
                  <wp:docPr id="2" name="圖片 10" descr="C:\Users\ss1051210\AppData\Local\Microsoft\Windows\INetCache\Content.Word\車轉動示意圖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圖片 10" descr="C:\Users\ss1051210\AppData\Local\Microsoft\Windows\INetCache\Content.Word\車轉動示意圖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5465" cy="318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ind w:left="240" w:right="0" w:hanging="0"/>
              <w:rPr/>
            </w:pPr>
            <w:r>
              <w:rPr/>
              <w:t>w = 13.2</w:t>
            </w:r>
            <w:r>
              <w:rPr/>
              <w:t>（</w:t>
            </w:r>
            <w:r>
              <w:rPr/>
              <w:t>cm</w:t>
            </w:r>
            <w:r>
              <w:rPr/>
              <w:t>）</w:t>
            </w:r>
          </w:p>
          <w:p>
            <w:pPr>
              <w:pStyle w:val="Normal"/>
              <w:ind w:left="240" w:right="0" w:hanging="0"/>
              <w:rPr/>
            </w:pPr>
            <w:r>
              <w:rPr/>
              <w:t>r</w:t>
            </w:r>
            <w:r>
              <w:rPr>
                <w:vertAlign w:val="subscript"/>
              </w:rPr>
              <w:t xml:space="preserve">1 </w:t>
            </w:r>
            <w:r>
              <w:rPr/>
              <w:t>= 13.2</w:t>
            </w:r>
            <w:r>
              <w:rPr/>
              <w:t>（</w:t>
            </w:r>
            <w:r>
              <w:rPr/>
              <w:t>cm</w:t>
            </w:r>
            <w:r>
              <w:rPr/>
              <w:t>）</w:t>
            </w:r>
          </w:p>
          <w:p>
            <w:pPr>
              <w:pStyle w:val="Normal"/>
              <w:ind w:left="240" w:right="0" w:hanging="0"/>
              <w:rPr/>
            </w:pPr>
            <w:r>
              <w:rPr/>
              <w:t>r</w:t>
            </w:r>
            <w:r>
              <w:rPr>
                <w:vertAlign w:val="subscript"/>
              </w:rPr>
              <w:t>2</w:t>
            </w:r>
            <w:r>
              <w:rPr/>
              <w:t xml:space="preserve"> = 26.4</w:t>
            </w:r>
            <w:r>
              <w:rPr/>
              <w:t>（</w:t>
            </w:r>
            <w:r>
              <w:rPr/>
              <w:t>cm</w:t>
            </w:r>
            <w:r>
              <w:rPr/>
              <w:t>）</w:t>
            </w:r>
          </w:p>
          <w:p>
            <w:pPr>
              <w:pStyle w:val="Normal"/>
              <w:ind w:left="240" w:right="0" w:hanging="0"/>
              <w:rPr/>
            </w:pPr>
            <w:r>
              <w:rPr/>
              <w:t>（</w:t>
            </w:r>
            <w:r>
              <w:rPr/>
              <w:t>m</w:t>
            </w:r>
            <w:r>
              <w:rPr>
                <w:vertAlign w:val="subscript"/>
              </w:rPr>
              <w:t>1</w:t>
            </w:r>
            <w:r>
              <w:rPr/>
              <w:t>,m</w:t>
            </w:r>
            <w:r>
              <w:rPr>
                <w:vertAlign w:val="subscript"/>
              </w:rPr>
              <w:t>2</w:t>
            </w:r>
            <w:r>
              <w:rPr/>
              <w:t>）</w:t>
            </w:r>
            <w:r>
              <w:rPr/>
              <w:t>=</w:t>
            </w:r>
            <w:r>
              <w:rPr/>
              <w:t>（</w:t>
            </w:r>
            <w:r>
              <w:rPr/>
              <w:t>100,200</w:t>
            </w:r>
            <w:r>
              <w:rPr/>
              <w:t>）</w:t>
            </w:r>
          </w:p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>d</w:t>
            </w:r>
            <w:r>
              <w:rPr>
                <w:vertAlign w:val="subscript"/>
              </w:rPr>
              <w:t>1</w:t>
            </w:r>
            <w:r>
              <w:rPr/>
              <w:t>、</w:t>
            </w:r>
            <w:r>
              <w:rPr/>
              <w:t>d</w:t>
            </w:r>
            <w:r>
              <w:rPr>
                <w:vertAlign w:val="subscript"/>
              </w:rPr>
              <w:t>2</w:t>
            </w:r>
            <w:r>
              <w:rPr/>
              <w:t>隨時間（</w:t>
            </w:r>
            <w:r>
              <w:rPr/>
              <w:t>t</w:t>
            </w:r>
            <w:r>
              <w:rPr/>
              <w:t>）改變。</w:t>
            </w:r>
          </w:p>
          <w:p>
            <w:pPr>
              <w:pStyle w:val="Normal"/>
              <w:rPr/>
            </w:pPr>
            <w:r>
              <w:rPr/>
              <w:t>s</w:t>
            </w:r>
            <w:r>
              <w:rPr/>
              <w:t>與</w:t>
            </w:r>
            <w:r>
              <w:rPr/>
              <w:t>m</w:t>
            </w:r>
            <w:r>
              <w:rPr/>
              <w:t>成正比，將在移動測試中計算關係。</w:t>
            </w:r>
          </w:p>
        </w:tc>
      </w:tr>
    </w:tbl>
    <w:p>
      <w:pPr>
        <w:pStyle w:val="Normal"/>
        <w:jc w:val="center"/>
        <w:rPr/>
      </w:pPr>
      <w:r>
        <w:rPr>
          <w:rFonts w:ascii="新細明體" w:hAnsi="新細明體"/>
          <w:b/>
        </w:rPr>
        <w:t>圖</w:t>
      </w:r>
      <w:r>
        <w:rPr>
          <w:rFonts w:ascii="新細明體" w:hAnsi="新細明體"/>
          <w:b/>
        </w:rPr>
        <w:fldChar w:fldCharType="begin"/>
      </w:r>
      <w:r>
        <w:instrText> SEQ 圖表 \* ARABIC </w:instrText>
      </w:r>
      <w:r>
        <w:fldChar w:fldCharType="separate"/>
      </w:r>
      <w:r>
        <w:t>1</w:t>
      </w:r>
      <w:r>
        <w:fldChar w:fldCharType="end"/>
      </w:r>
      <w:r>
        <w:rPr>
          <w:rFonts w:ascii="新細明體" w:hAnsi="新細明體"/>
          <w:b/>
        </w:rPr>
        <w:t xml:space="preserve"> 轉速為（</w:t>
      </w:r>
      <w:r>
        <w:rPr>
          <w:rFonts w:eastAsia="新細明體" w:ascii="新細明體" w:hAnsi="新細明體"/>
          <w:b/>
        </w:rPr>
        <w:t>100,200</w:t>
      </w:r>
      <w:r>
        <w:rPr>
          <w:rFonts w:ascii="新細明體" w:hAnsi="新細明體"/>
          <w:b/>
        </w:rPr>
        <w:t xml:space="preserve">）時，兩輪會沿固定路徑行進且路徑長比 </w:t>
      </w:r>
      <w:r>
        <w:rPr>
          <w:rFonts w:eastAsia="新細明體" w:ascii="新細明體" w:hAnsi="新細明體"/>
          <w:b/>
        </w:rPr>
        <w:t>= 1</w:t>
      </w:r>
      <w:r>
        <w:rPr>
          <w:rFonts w:ascii="新細明體" w:hAnsi="新細明體"/>
          <w:b/>
        </w:rPr>
        <w:t>：</w:t>
      </w:r>
      <w:r>
        <w:rPr>
          <w:rFonts w:eastAsia="新細明體" w:ascii="新細明體" w:hAnsi="新細明體"/>
          <w:b/>
        </w:rPr>
        <w:t>2</w:t>
      </w:r>
    </w:p>
    <w:p>
      <w:pPr>
        <w:pStyle w:val="Normal"/>
        <w:ind w:left="240" w:right="0" w:hanging="0"/>
        <w:rPr/>
      </w:pPr>
      <w:r>
        <w:rPr/>
        <w:t>（二）、移動測試</w:t>
      </w:r>
    </w:p>
    <w:p>
      <w:pPr>
        <w:pStyle w:val="Normal"/>
        <w:ind w:left="240" w:right="0" w:firstLine="240"/>
        <w:rPr/>
      </w:pPr>
      <w:r>
        <w:rPr/>
        <w:t>我們想知道馬達轉速是否與車輪的移動距離成正比，還有馬達轉速與車體移動速度的關係。每項測試均進行</w:t>
      </w:r>
      <w:r>
        <w:rPr/>
        <w:t>5</w:t>
      </w:r>
      <w:r>
        <w:rPr/>
        <w:t>次，扣除誤差後取各項平均值。如下表：</w:t>
      </w:r>
    </w:p>
    <w:p>
      <w:pPr>
        <w:pStyle w:val="1"/>
        <w:keepNext/>
        <w:ind w:left="480" w:right="0" w:hanging="0"/>
        <w:rPr/>
      </w:pPr>
      <w:r>
        <w:rPr>
          <w:rFonts w:ascii="新細明體" w:hAnsi="新細明體"/>
          <w:sz w:val="24"/>
          <w:szCs w:val="24"/>
        </w:rPr>
        <w:t>表</w:t>
      </w:r>
      <w:r>
        <w:rPr>
          <w:rFonts w:ascii="新細明體" w:hAnsi="新細明體"/>
          <w:sz w:val="24"/>
          <w:szCs w:val="24"/>
        </w:rPr>
        <w:fldChar w:fldCharType="begin"/>
      </w:r>
      <w:r>
        <w:instrText> SEQ 表格 \* ARABIC </w:instrText>
      </w:r>
      <w:r>
        <w:fldChar w:fldCharType="separate"/>
      </w:r>
      <w:r>
        <w:t>1</w:t>
      </w:r>
      <w:r>
        <w:fldChar w:fldCharType="end"/>
      </w:r>
      <w:r>
        <w:rPr>
          <w:rFonts w:ascii="新細明體" w:hAnsi="新細明體"/>
          <w:sz w:val="24"/>
          <w:szCs w:val="24"/>
        </w:rPr>
        <w:tab/>
        <w:t xml:space="preserve"> </w:t>
      </w:r>
      <w:r>
        <w:rPr>
          <w:rFonts w:ascii="新細明體" w:hAnsi="新細明體"/>
          <w:sz w:val="24"/>
          <w:szCs w:val="24"/>
        </w:rPr>
        <w:t>移動測試結果</w:t>
      </w:r>
    </w:p>
    <w:tbl>
      <w:tblPr>
        <w:tblW w:w="9694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3"/>
        <w:gridCol w:w="2423"/>
        <w:gridCol w:w="2424"/>
        <w:gridCol w:w="2424"/>
      </w:tblGrid>
      <w:tr>
        <w:trPr/>
        <w:tc>
          <w:tcPr>
            <w:tcW w:w="2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轉速（馬達運轉一秒）</w:t>
            </w:r>
          </w:p>
        </w:tc>
        <w:tc>
          <w:tcPr>
            <w:tcW w:w="2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移動距離（</w:t>
            </w:r>
            <w:r>
              <w:rPr>
                <w:color w:val="FF0000"/>
              </w:rPr>
              <w:t>cm</w:t>
            </w:r>
            <w:r>
              <w:rPr>
                <w:color w:val="FF0000"/>
              </w:rPr>
              <w:t>）</w:t>
            </w:r>
          </w:p>
        </w:tc>
        <w:tc>
          <w:tcPr>
            <w:tcW w:w="2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color w:val="FF0000"/>
              </w:rPr>
              <w:t>偏轉角度（</w:t>
            </w:r>
            <w:r>
              <w:rPr>
                <w:color w:val="FF0000"/>
              </w:rPr>
              <w:object>
                <v:shape id="ole_rId8" style="width:7.95pt;height:12.8pt" o:ole="">
                  <v:imagedata r:id="rId9" o:title=""/>
                </v:shape>
                <o:OLEObject Type="Embed" ProgID="" ShapeID="ole_rId8" DrawAspect="Content" ObjectID="_859672249" r:id="rId8"/>
              </w:object>
            </w:r>
            <w:r>
              <w:rPr>
                <w:color w:val="FF0000"/>
              </w:rPr>
              <w:t>）</w:t>
            </w:r>
          </w:p>
        </w:tc>
        <w:tc>
          <w:tcPr>
            <w:tcW w:w="2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color w:val="FF0000"/>
              </w:rPr>
              <w:t>與理想角度誤差（</w:t>
            </w:r>
            <w:r>
              <w:rPr>
                <w:color w:val="FF0000"/>
              </w:rPr>
              <w:object>
                <v:shape id="ole_rId10" style="width:7.95pt;height:12.8pt" o:ole="">
                  <v:imagedata r:id="rId11" o:title=""/>
                </v:shape>
                <o:OLEObject Type="Embed" ProgID="" ShapeID="ole_rId10" DrawAspect="Content" ObjectID="_884121322" r:id="rId10"/>
              </w:object>
            </w:r>
            <w:r>
              <w:rPr>
                <w:color w:val="FF0000"/>
              </w:rPr>
              <w:t>）</w:t>
            </w:r>
          </w:p>
        </w:tc>
      </w:tr>
      <w:tr>
        <w:trPr/>
        <w:tc>
          <w:tcPr>
            <w:tcW w:w="2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（</w:t>
            </w:r>
            <w:r>
              <w:rPr>
                <w:color w:val="FF0000"/>
              </w:rPr>
              <w:t>100,100</w:t>
            </w:r>
            <w:r>
              <w:rPr>
                <w:color w:val="FF0000"/>
              </w:rPr>
              <w:t>）</w:t>
            </w:r>
          </w:p>
        </w:tc>
        <w:tc>
          <w:tcPr>
            <w:tcW w:w="2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40.25</w:t>
            </w:r>
          </w:p>
        </w:tc>
        <w:tc>
          <w:tcPr>
            <w:tcW w:w="2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</w:tc>
        <w:tc>
          <w:tcPr>
            <w:tcW w:w="2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</w:tc>
      </w:tr>
      <w:tr>
        <w:trPr/>
        <w:tc>
          <w:tcPr>
            <w:tcW w:w="2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（</w:t>
            </w:r>
            <w:r>
              <w:rPr>
                <w:color w:val="FF0000"/>
              </w:rPr>
              <w:t>100,200</w:t>
            </w:r>
            <w:r>
              <w:rPr>
                <w:color w:val="FF0000"/>
              </w:rPr>
              <w:t>）</w:t>
            </w:r>
          </w:p>
        </w:tc>
        <w:tc>
          <w:tcPr>
            <w:tcW w:w="2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</w:tc>
        <w:tc>
          <w:tcPr>
            <w:tcW w:w="2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</w:tc>
        <w:tc>
          <w:tcPr>
            <w:tcW w:w="2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</w:tc>
      </w:tr>
      <w:tr>
        <w:trPr/>
        <w:tc>
          <w:tcPr>
            <w:tcW w:w="2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（</w:t>
            </w:r>
            <w:r>
              <w:rPr>
                <w:color w:val="FF0000"/>
              </w:rPr>
              <w:t>200,100</w:t>
            </w:r>
            <w:r>
              <w:rPr>
                <w:color w:val="FF0000"/>
              </w:rPr>
              <w:t>）</w:t>
            </w:r>
          </w:p>
        </w:tc>
        <w:tc>
          <w:tcPr>
            <w:tcW w:w="2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</w:tc>
        <w:tc>
          <w:tcPr>
            <w:tcW w:w="2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</w:tc>
        <w:tc>
          <w:tcPr>
            <w:tcW w:w="2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</w:tc>
      </w:tr>
      <w:tr>
        <w:trPr/>
        <w:tc>
          <w:tcPr>
            <w:tcW w:w="2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（</w:t>
            </w:r>
            <w:r>
              <w:rPr>
                <w:color w:val="FF0000"/>
              </w:rPr>
              <w:t>200,200</w:t>
            </w:r>
            <w:r>
              <w:rPr>
                <w:color w:val="FF0000"/>
              </w:rPr>
              <w:t>）</w:t>
            </w:r>
          </w:p>
        </w:tc>
        <w:tc>
          <w:tcPr>
            <w:tcW w:w="24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  <w:t>80.75</w:t>
            </w:r>
          </w:p>
        </w:tc>
        <w:tc>
          <w:tcPr>
            <w:tcW w:w="2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</w:tc>
        <w:tc>
          <w:tcPr>
            <w:tcW w:w="2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FF0000"/>
              </w:rPr>
            </w:pPr>
            <w:r>
              <w:rPr>
                <w:color w:val="FF0000"/>
              </w:rPr>
            </w:r>
          </w:p>
        </w:tc>
      </w:tr>
    </w:tbl>
    <w:p>
      <w:pPr>
        <w:pStyle w:val="Normal"/>
        <w:rPr/>
      </w:pPr>
      <w:r>
        <w:rPr/>
        <w:tab/>
      </w:r>
      <w:r>
        <w:rPr>
          <w:color w:val="FF0000"/>
        </w:rPr>
        <w:t>經測試，得出</w:t>
      </w:r>
      <w:r>
        <w:rPr>
          <w:color w:val="FF0000"/>
        </w:rPr>
        <w:t>s</w:t>
      </w:r>
      <w:r>
        <w:rPr>
          <w:rFonts w:eastAsia="新細明體" w:cs="細明體" w:ascii="新細明體" w:hAnsi="新細明體"/>
          <w:color w:val="FF0000"/>
        </w:rPr>
        <w:t>≒</w:t>
      </w:r>
      <w:r>
        <w:rPr>
          <w:rFonts w:eastAsia="新細明體" w:cs="細明體"/>
          <w:color w:val="FF0000"/>
        </w:rPr>
        <w:t>0.4</w:t>
      </w:r>
      <w:r>
        <w:rPr>
          <w:rFonts w:eastAsia="新細明體" w:cs="細明體" w:ascii="Cambria" w:hAnsi="Cambria"/>
          <w:color w:val="FF0000"/>
        </w:rPr>
        <w:t>m</w:t>
      </w:r>
      <w:r>
        <w:rPr>
          <w:rFonts w:ascii="Cambria" w:hAnsi="Cambria" w:cs="細明體"/>
          <w:color w:val="FF0000"/>
        </w:rPr>
        <w:t>。</w:t>
      </w:r>
    </w:p>
    <w:p>
      <w:pPr>
        <w:pStyle w:val="Normal"/>
        <w:ind w:left="0" w:right="0" w:firstLine="240"/>
        <w:rPr/>
      </w:pPr>
      <w:r>
        <w:rPr/>
        <w:t>（三）、紅外線感測範圍測試</w:t>
      </w:r>
    </w:p>
    <w:p>
      <w:pPr>
        <w:pStyle w:val="Normal"/>
        <w:ind w:left="240" w:right="0" w:hanging="0"/>
        <w:rPr/>
      </w:pPr>
      <w:r>
        <w:rPr/>
        <w:tab/>
      </w:r>
      <w:r>
        <w:rPr/>
        <w:t>我們用手機拍下紅外線感應器的照射範圍，再以智高積木作為比例尺計算感測面積。此範圍大約等同一個直徑</w:t>
      </w:r>
      <w:r>
        <w:rPr/>
        <w:t>2cm</w:t>
      </w:r>
      <w:r>
        <w:rPr/>
        <w:t>的圓。如下圖：</w:t>
      </w:r>
    </w:p>
    <w:p>
      <w:pPr>
        <w:pStyle w:val="Normal"/>
        <w:ind w:left="240" w:right="0" w:hanging="0"/>
        <w:rPr/>
      </w:pPr>
      <w:r>
        <w:rPr/>
        <w:t>圖片</w:t>
      </w:r>
    </w:p>
    <w:p>
      <w:pPr>
        <w:pStyle w:val="Normal"/>
        <w:ind w:left="240" w:right="0" w:hanging="0"/>
        <w:rPr/>
      </w:pPr>
      <w:r>
        <w:rPr/>
      </w:r>
    </w:p>
    <w:p>
      <w:pPr>
        <w:pStyle w:val="Normal"/>
        <w:ind w:left="240" w:right="0" w:hanging="0"/>
        <w:rPr/>
      </w:pPr>
      <w:r>
        <w:rPr/>
        <w:t>（四）、結論</w:t>
      </w:r>
    </w:p>
    <w:p>
      <w:pPr>
        <w:pStyle w:val="Normal"/>
        <w:ind w:left="240" w:right="0" w:firstLine="240"/>
        <w:rPr/>
      </w:pPr>
      <w:r>
        <w:rPr/>
        <w:t>以上數據可做為後續調整程式之用。</w:t>
      </w:r>
    </w:p>
    <w:p>
      <w:pPr>
        <w:pStyle w:val="Normal"/>
        <w:ind w:left="240" w:right="0" w:firstLine="240"/>
        <w:rPr/>
      </w:pPr>
      <w:r>
        <w:rPr/>
      </w:r>
    </w:p>
    <w:p>
      <w:pPr>
        <w:pStyle w:val="Style21"/>
        <w:rPr/>
      </w:pPr>
      <w:r>
        <w:rPr/>
        <w:t>二、</w:t>
      </w:r>
      <w:r>
        <w:rPr/>
        <w:t>PID</w:t>
      </w:r>
      <w:r>
        <w:rPr>
          <w:rFonts w:cs="Arial" w:ascii="Arial" w:hAnsi="Arial"/>
          <w:highlight w:val="white"/>
        </w:rPr>
        <w:t>──P</w:t>
      </w:r>
      <w:r>
        <w:rPr>
          <w:rFonts w:ascii="Arial" w:hAnsi="Arial" w:cs="Arial"/>
          <w:highlight w:val="white"/>
        </w:rPr>
        <w:t>控制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62200" cy="1127760"/>
            <wp:effectExtent l="0" t="0" r="0" b="0"/>
            <wp:wrapTopAndBottom/>
            <wp:docPr id="3" name="影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影像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1"/>
        <w:rPr/>
      </w:pPr>
      <w:r>
        <w:rPr/>
        <w:t>三、</w:t>
      </w:r>
      <w:r>
        <w:rPr/>
        <w:t>PID──I</w:t>
      </w:r>
      <w:r>
        <w:rPr/>
        <w:t>控制</w:t>
      </w:r>
    </w:p>
    <w:p>
      <w:pPr>
        <w:pStyle w:val="Normal"/>
        <w:rPr/>
      </w:pPr>
      <w:r>
        <w:rPr/>
      </w:r>
    </w:p>
    <w:p>
      <w:pPr>
        <w:pStyle w:val="Style21"/>
        <w:rPr/>
      </w:pPr>
      <w:r>
        <w:rPr/>
        <w:t>四、</w:t>
      </w:r>
      <w:r>
        <w:rPr/>
        <w:t>PID──D</w:t>
      </w:r>
      <w:r>
        <w:rPr/>
        <w:t>控制</w:t>
      </w:r>
    </w:p>
    <w:p>
      <w:pPr>
        <w:pStyle w:val="Style21"/>
        <w:rPr/>
      </w:pPr>
      <w:r>
        <w:rPr/>
      </w:r>
    </w:p>
    <w:p>
      <w:pPr>
        <w:pStyle w:val="Style21"/>
        <w:rPr/>
      </w:pPr>
      <w:r>
        <w:rPr/>
        <w:t>五、</w:t>
      </w:r>
      <w:r>
        <w:rPr/>
        <w:t>PID</w:t>
      </w:r>
      <w:r>
        <w:rPr/>
        <w:t>與類比感應車循線效果比較</w:t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1"/>
        <w:keepNext/>
        <w:ind w:left="0" w:right="0" w:firstLine="482"/>
        <w:jc w:val="left"/>
        <w:rPr/>
      </w:pPr>
      <w:r>
        <w:rPr/>
        <w:t>伍、研究結果</w:t>
      </w:r>
    </w:p>
    <w:p>
      <w:pPr>
        <w:pStyle w:val="Normal"/>
        <w:rPr/>
      </w:pPr>
      <w:r>
        <w:rPr/>
        <w:t>順序：一、（一）、</w:t>
      </w:r>
      <w:r>
        <w:rPr/>
        <w:t>1</w:t>
      </w:r>
      <w:r>
        <w:rPr/>
        <w:t>、（</w:t>
      </w:r>
      <w:r>
        <w:rPr/>
        <w:t>1</w:t>
      </w:r>
      <w:r>
        <w:rPr/>
        <w:t>）</w:t>
      </w:r>
    </w:p>
    <w:p>
      <w:pPr>
        <w:pStyle w:val="1"/>
        <w:keepNext/>
        <w:ind w:left="480" w:right="0" w:hanging="0"/>
        <w:jc w:val="left"/>
        <w:rPr/>
      </w:pPr>
      <w:r>
        <w:rPr/>
        <w:t>陸、討論</w:t>
      </w:r>
    </w:p>
    <w:p>
      <w:pPr>
        <w:pStyle w:val="Normal"/>
        <w:rPr/>
      </w:pPr>
      <w:r>
        <w:rPr/>
      </w:r>
    </w:p>
    <w:p>
      <w:pPr>
        <w:pStyle w:val="1"/>
        <w:keepNext/>
        <w:ind w:left="480" w:right="0" w:hanging="0"/>
        <w:jc w:val="left"/>
        <w:rPr/>
      </w:pPr>
      <w:r>
        <w:rPr/>
        <w:t>柒、結論</w:t>
      </w:r>
    </w:p>
    <w:p>
      <w:pPr>
        <w:pStyle w:val="Normal"/>
        <w:rPr>
          <w:rFonts w:ascii="Cambria" w:hAnsi="Cambria" w:eastAsia="新細明體"/>
          <w:b/>
          <w:b/>
          <w:bCs/>
          <w:sz w:val="32"/>
          <w:szCs w:val="32"/>
        </w:rPr>
      </w:pPr>
      <w:r>
        <w:rPr>
          <w:rFonts w:eastAsia="新細明體" w:ascii="Cambria" w:hAnsi="Cambria"/>
          <w:b/>
          <w:bCs/>
          <w:sz w:val="32"/>
          <w:szCs w:val="32"/>
        </w:rPr>
      </w:r>
    </w:p>
    <w:p>
      <w:pPr>
        <w:pStyle w:val="1"/>
        <w:keepNext/>
        <w:ind w:left="480" w:right="0" w:hanging="0"/>
        <w:jc w:val="left"/>
        <w:rPr/>
      </w:pPr>
      <w:r>
        <w:rPr/>
        <w:t>捌、參考資料及其他</w:t>
      </w:r>
    </w:p>
    <w:p>
      <w:pPr>
        <w:pStyle w:val="Normal"/>
        <w:rPr/>
      </w:pPr>
      <w:r>
        <w:rPr/>
        <w:t>一、</w:t>
      </w:r>
      <w:r>
        <w:rPr/>
        <w:t xml:space="preserve">A PID Controller For Lego Mindstorms Robots </w:t>
      </w:r>
      <w:hyperlink r:id="rId13">
        <w:r>
          <w:rPr>
            <w:rStyle w:val="Style13"/>
          </w:rPr>
          <w:t>http://www.inpharmix.com/jps/PID_Controller_For_Lego_Mindstorms_Robots.html</w:t>
        </w:r>
      </w:hyperlink>
    </w:p>
    <w:p>
      <w:pPr>
        <w:pStyle w:val="Normal"/>
        <w:rPr/>
      </w:pPr>
      <w:r>
        <w:rPr/>
        <w:t>二、直流馬達定位控制</w:t>
      </w:r>
      <w:r>
        <w:rPr/>
        <w:t>-</w:t>
      </w:r>
      <w:r>
        <w:rPr/>
        <w:t xml:space="preserve">最佳 </w:t>
      </w:r>
      <w:r>
        <w:rPr/>
        <w:t xml:space="preserve">PID </w:t>
      </w:r>
      <w:r>
        <w:rPr/>
        <w:t>控制器之設計</w:t>
      </w:r>
    </w:p>
    <w:p>
      <w:pPr>
        <w:pStyle w:val="Normal"/>
        <w:rPr/>
      </w:pPr>
      <w:hyperlink r:id="rId14">
        <w:r>
          <w:rPr>
            <w:rStyle w:val="Style13"/>
          </w:rPr>
          <w:t>http://ir.lib.ntust.edu.tw/retrieve/50876/Optimal+PID+Controller+Design+for+DC+Motor+Positioning+Control.pdf</w:t>
        </w:r>
      </w:hyperlink>
    </w:p>
    <w:p>
      <w:pPr>
        <w:pStyle w:val="Normal"/>
        <w:rPr/>
      </w:pPr>
      <w:r>
        <w:rPr/>
        <w:t>三、</w:t>
      </w:r>
      <w:r>
        <w:rPr/>
        <w:t>HOW TO USE IR SENSOR USING OP AMP AND ARDUINO</w:t>
      </w:r>
    </w:p>
    <w:p>
      <w:pPr>
        <w:pStyle w:val="Normal"/>
        <w:rPr>
          <w:color w:val="0000FF"/>
          <w:u w:val="single"/>
        </w:rPr>
      </w:pPr>
      <w:r>
        <w:rPr>
          <w:color w:val="0000FF"/>
          <w:u w:val="single"/>
        </w:rPr>
        <w:t>http://www.instructables.com/id/How-to-use-IR-Sensor-using-Op-amp-and-Arduino/</w:t>
      </w:r>
    </w:p>
    <w:sectPr>
      <w:footerReference w:type="default" r:id="rId15"/>
      <w:type w:val="nextPage"/>
      <w:pgSz w:w="11906" w:h="16838"/>
      <w:pgMar w:left="1134" w:right="1134" w:header="0" w:top="1134" w:footer="992" w:bottom="1134" w:gutter="0"/>
      <w:pgNumType w:fmt="decimal"/>
      <w:formProt w:val="false"/>
      <w:titlePg/>
      <w:textDirection w:val="lrTb"/>
      <w:docGrid w:type="lines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標楷體">
    <w:charset w:val="01"/>
    <w:family w:val="roman"/>
    <w:pitch w:val="variable"/>
  </w:font>
  <w:font w:name="Cambria Math">
    <w:charset w:val="01"/>
    <w:family w:val="roman"/>
    <w:pitch w:val="variable"/>
  </w:font>
  <w:font w:name="新細明體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</w:p>
</w:ftr>
</file>

<file path=word/settings.xml><?xml version="1.0" encoding="utf-8"?>
<w:settings xmlns:w="http://schemas.openxmlformats.org/wordprocessingml/2006/main">
  <w:zoom w:percent="130"/>
  <w:defaultTabStop w:val="48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Times New Roman"/>
        <w:szCs w:val="22"/>
        <w:lang w:val="en-US" w:eastAsia="zh-TW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Calibri" w:hAnsi="Calibri" w:eastAsia="新細明體" w:cs="Times New Roman"/>
      <w:color w:val="auto"/>
      <w:sz w:val="24"/>
      <w:szCs w:val="24"/>
      <w:lang w:val="en-US" w:eastAsia="zh-TW" w:bidi="ar-SA"/>
    </w:rPr>
  </w:style>
  <w:style w:type="paragraph" w:styleId="1">
    <w:name w:val="Heading 1"/>
    <w:basedOn w:val="Normal"/>
    <w:qFormat/>
    <w:pPr>
      <w:keepNext/>
      <w:numPr>
        <w:ilvl w:val="0"/>
        <w:numId w:val="0"/>
      </w:numPr>
      <w:spacing w:before="240" w:after="60"/>
      <w:jc w:val="center"/>
      <w:outlineLvl w:val="0"/>
    </w:pPr>
    <w:rPr>
      <w:rFonts w:ascii="Cambria" w:hAnsi="Cambria" w:eastAsia="新細明體" w:cs="Times New Roman"/>
      <w:b/>
      <w:bCs/>
      <w:sz w:val="32"/>
      <w:szCs w:val="32"/>
    </w:rPr>
  </w:style>
  <w:style w:type="paragraph" w:styleId="2">
    <w:name w:val="Heading 2"/>
    <w:basedOn w:val="Normal"/>
    <w:qFormat/>
    <w:pPr>
      <w:keepNext/>
      <w:numPr>
        <w:ilvl w:val="0"/>
        <w:numId w:val="0"/>
      </w:numPr>
      <w:spacing w:before="240" w:after="60"/>
      <w:outlineLvl w:val="1"/>
    </w:pPr>
    <w:rPr>
      <w:rFonts w:ascii="Cambria" w:hAnsi="Cambria" w:eastAsia="新細明體" w:cs="Times New Roman"/>
      <w:b/>
      <w:bCs/>
      <w:i/>
      <w:iCs/>
      <w:sz w:val="28"/>
      <w:szCs w:val="28"/>
    </w:rPr>
  </w:style>
  <w:style w:type="paragraph" w:styleId="3">
    <w:name w:val="Heading 3"/>
    <w:basedOn w:val="Normal"/>
    <w:qFormat/>
    <w:pPr>
      <w:keepNext/>
      <w:numPr>
        <w:ilvl w:val="0"/>
        <w:numId w:val="0"/>
      </w:numPr>
      <w:spacing w:before="240" w:after="60"/>
      <w:outlineLvl w:val="2"/>
    </w:pPr>
    <w:rPr>
      <w:rFonts w:ascii="Cambria" w:hAnsi="Cambria" w:eastAsia="新細明體" w:cs="Times New Roman"/>
      <w:b/>
      <w:bCs/>
      <w:sz w:val="26"/>
      <w:szCs w:val="26"/>
    </w:rPr>
  </w:style>
  <w:style w:type="paragraph" w:styleId="4">
    <w:name w:val="Heading 4"/>
    <w:basedOn w:val="Normal"/>
    <w:qFormat/>
    <w:pPr>
      <w:keepNext/>
      <w:numPr>
        <w:ilvl w:val="0"/>
        <w:numId w:val="0"/>
      </w:numPr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5">
    <w:name w:val="Heading 5"/>
    <w:basedOn w:val="Normal"/>
    <w:qFormat/>
    <w:pPr>
      <w:numPr>
        <w:ilvl w:val="0"/>
        <w:numId w:val="0"/>
      </w:numPr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6">
    <w:name w:val="Heading 6"/>
    <w:basedOn w:val="Normal"/>
    <w:qFormat/>
    <w:pPr>
      <w:numPr>
        <w:ilvl w:val="0"/>
        <w:numId w:val="0"/>
      </w:num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7">
    <w:name w:val="Heading 7"/>
    <w:basedOn w:val="Normal"/>
    <w:qFormat/>
    <w:pPr>
      <w:numPr>
        <w:ilvl w:val="0"/>
        <w:numId w:val="0"/>
      </w:numPr>
      <w:spacing w:before="240" w:after="60"/>
      <w:outlineLvl w:val="6"/>
    </w:pPr>
    <w:rPr>
      <w:rFonts w:cs="Times New Roman"/>
    </w:rPr>
  </w:style>
  <w:style w:type="paragraph" w:styleId="8">
    <w:name w:val="Heading 8"/>
    <w:basedOn w:val="Normal"/>
    <w:qFormat/>
    <w:pPr>
      <w:numPr>
        <w:ilvl w:val="0"/>
        <w:numId w:val="0"/>
      </w:numPr>
      <w:spacing w:before="240" w:after="60"/>
      <w:outlineLvl w:val="7"/>
    </w:pPr>
    <w:rPr>
      <w:rFonts w:cs="Times New Roman"/>
      <w:i/>
      <w:iCs/>
    </w:rPr>
  </w:style>
  <w:style w:type="paragraph" w:styleId="9">
    <w:name w:val="Heading 9"/>
    <w:basedOn w:val="Normal"/>
    <w:qFormat/>
    <w:pPr>
      <w:numPr>
        <w:ilvl w:val="0"/>
        <w:numId w:val="0"/>
      </w:numPr>
      <w:spacing w:before="240" w:after="60"/>
      <w:outlineLvl w:val="8"/>
    </w:pPr>
    <w:rPr>
      <w:rFonts w:ascii="Cambria" w:hAnsi="Cambria" w:eastAsia="新細明體" w:cs="Times New Roman"/>
      <w:sz w:val="22"/>
      <w:szCs w:val="22"/>
    </w:rPr>
  </w:style>
  <w:style w:type="character" w:styleId="DefaultParagraphFont">
    <w:name w:val="Default Paragraph Font"/>
    <w:qFormat/>
    <w:rPr/>
  </w:style>
  <w:style w:type="character" w:styleId="11">
    <w:name w:val="標題 1 字元"/>
    <w:basedOn w:val="DefaultParagraphFont"/>
    <w:qFormat/>
    <w:rPr>
      <w:rFonts w:ascii="Cambria" w:hAnsi="Cambria" w:eastAsia="新細明體" w:cs="Times New Roman"/>
      <w:b/>
      <w:bCs/>
      <w:sz w:val="32"/>
      <w:szCs w:val="32"/>
    </w:rPr>
  </w:style>
  <w:style w:type="character" w:styleId="21">
    <w:name w:val="標題 2 字元"/>
    <w:basedOn w:val="DefaultParagraphFont"/>
    <w:qFormat/>
    <w:rPr>
      <w:rFonts w:ascii="Cambria" w:hAnsi="Cambria" w:eastAsia="新細明體" w:cs="Times New Roman"/>
      <w:b/>
      <w:bCs/>
      <w:i/>
      <w:iCs/>
      <w:sz w:val="28"/>
      <w:szCs w:val="28"/>
    </w:rPr>
  </w:style>
  <w:style w:type="character" w:styleId="31">
    <w:name w:val="標題 3 字元"/>
    <w:basedOn w:val="DefaultParagraphFont"/>
    <w:qFormat/>
    <w:rPr>
      <w:rFonts w:ascii="Cambria" w:hAnsi="Cambria" w:eastAsia="新細明體" w:cs="Times New Roman"/>
      <w:b/>
      <w:bCs/>
      <w:sz w:val="26"/>
      <w:szCs w:val="26"/>
    </w:rPr>
  </w:style>
  <w:style w:type="character" w:styleId="41">
    <w:name w:val="標題 4 字元"/>
    <w:basedOn w:val="DefaultParagraphFont"/>
    <w:qFormat/>
    <w:rPr>
      <w:rFonts w:cs="Times New Roman"/>
      <w:b/>
      <w:bCs/>
      <w:sz w:val="28"/>
      <w:szCs w:val="28"/>
    </w:rPr>
  </w:style>
  <w:style w:type="character" w:styleId="51">
    <w:name w:val="標題 5 字元"/>
    <w:basedOn w:val="DefaultParagraphFont"/>
    <w:qFormat/>
    <w:rPr>
      <w:rFonts w:cs="Times New Roman"/>
      <w:b/>
      <w:bCs/>
      <w:i/>
      <w:iCs/>
      <w:sz w:val="26"/>
      <w:szCs w:val="26"/>
    </w:rPr>
  </w:style>
  <w:style w:type="character" w:styleId="61">
    <w:name w:val="標題 6 字元"/>
    <w:basedOn w:val="DefaultParagraphFont"/>
    <w:qFormat/>
    <w:rPr>
      <w:rFonts w:cs="Times New Roman"/>
      <w:b/>
      <w:bCs/>
    </w:rPr>
  </w:style>
  <w:style w:type="character" w:styleId="71">
    <w:name w:val="標題 7 字元"/>
    <w:basedOn w:val="DefaultParagraphFont"/>
    <w:qFormat/>
    <w:rPr>
      <w:rFonts w:cs="Times New Roman"/>
      <w:sz w:val="24"/>
      <w:szCs w:val="24"/>
    </w:rPr>
  </w:style>
  <w:style w:type="character" w:styleId="81">
    <w:name w:val="標題 8 字元"/>
    <w:basedOn w:val="DefaultParagraphFont"/>
    <w:qFormat/>
    <w:rPr>
      <w:rFonts w:cs="Times New Roman"/>
      <w:i/>
      <w:iCs/>
      <w:sz w:val="24"/>
      <w:szCs w:val="24"/>
    </w:rPr>
  </w:style>
  <w:style w:type="character" w:styleId="91">
    <w:name w:val="標題 9 字元"/>
    <w:basedOn w:val="DefaultParagraphFont"/>
    <w:qFormat/>
    <w:rPr>
      <w:rFonts w:ascii="Cambria" w:hAnsi="Cambria" w:eastAsia="新細明體" w:cs="Times New Roman"/>
    </w:rPr>
  </w:style>
  <w:style w:type="character" w:styleId="Style5">
    <w:name w:val="標題 字元"/>
    <w:basedOn w:val="DefaultParagraphFont"/>
    <w:qFormat/>
    <w:rPr>
      <w:rFonts w:ascii="Cambria" w:hAnsi="Cambria" w:eastAsia="新細明體" w:cs="Times New Roman"/>
      <w:b/>
      <w:bCs/>
      <w:sz w:val="32"/>
      <w:szCs w:val="32"/>
    </w:rPr>
  </w:style>
  <w:style w:type="character" w:styleId="Style6">
    <w:name w:val="副標題 字元"/>
    <w:basedOn w:val="DefaultParagraphFont"/>
    <w:qFormat/>
    <w:rPr>
      <w:b/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character" w:styleId="Style7">
    <w:name w:val="強調"/>
    <w:basedOn w:val="DefaultParagraphFont"/>
    <w:qFormat/>
    <w:rPr>
      <w:rFonts w:ascii="Calibri" w:hAnsi="Calibri"/>
      <w:b/>
      <w:i/>
      <w:iCs/>
    </w:rPr>
  </w:style>
  <w:style w:type="character" w:styleId="Style8">
    <w:name w:val="引文 字元"/>
    <w:basedOn w:val="DefaultParagraphFont"/>
    <w:qFormat/>
    <w:rPr>
      <w:rFonts w:cs="Times New Roman"/>
      <w:i/>
      <w:sz w:val="24"/>
      <w:szCs w:val="24"/>
    </w:rPr>
  </w:style>
  <w:style w:type="character" w:styleId="Style9">
    <w:name w:val="鮮明引文 字元"/>
    <w:basedOn w:val="DefaultParagraphFont"/>
    <w:qFormat/>
    <w:rPr>
      <w:rFonts w:cs="Times New Roman"/>
      <w:b/>
      <w:i/>
      <w:sz w:val="24"/>
    </w:rPr>
  </w:style>
  <w:style w:type="character" w:styleId="SubtleEmphasis">
    <w:name w:val="Subtle Emphasis"/>
    <w:qFormat/>
    <w:rPr>
      <w:i/>
      <w:color w:val="5A5A5A"/>
    </w:rPr>
  </w:style>
  <w:style w:type="character" w:styleId="IntenseEmphasis">
    <w:name w:val="Intense Emphasis"/>
    <w:basedOn w:val="DefaultParagraphFont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qFormat/>
    <w:rPr>
      <w:b/>
      <w:sz w:val="24"/>
      <w:u w:val="single"/>
    </w:rPr>
  </w:style>
  <w:style w:type="character" w:styleId="BookTitle">
    <w:name w:val="Book Title"/>
    <w:basedOn w:val="DefaultParagraphFont"/>
    <w:qFormat/>
    <w:rPr>
      <w:rFonts w:ascii="Cambria" w:hAnsi="Cambria" w:eastAsia="新細明體"/>
      <w:b/>
      <w:i/>
      <w:sz w:val="24"/>
      <w:szCs w:val="24"/>
    </w:rPr>
  </w:style>
  <w:style w:type="character" w:styleId="Style10">
    <w:name w:val="無間距 字元"/>
    <w:basedOn w:val="DefaultParagraphFont"/>
    <w:qFormat/>
    <w:rPr>
      <w:sz w:val="24"/>
      <w:szCs w:val="32"/>
    </w:rPr>
  </w:style>
  <w:style w:type="character" w:styleId="Style11">
    <w:name w:val="頁首 字元"/>
    <w:basedOn w:val="DefaultParagraphFont"/>
    <w:qFormat/>
    <w:rPr>
      <w:sz w:val="20"/>
      <w:szCs w:val="20"/>
    </w:rPr>
  </w:style>
  <w:style w:type="character" w:styleId="Style12">
    <w:name w:val="頁尾 字元"/>
    <w:basedOn w:val="DefaultParagraphFont"/>
    <w:qFormat/>
    <w:rPr>
      <w:sz w:val="20"/>
      <w:szCs w:val="20"/>
    </w:rPr>
  </w:style>
  <w:style w:type="character" w:styleId="Style13">
    <w:name w:val="網際網路連結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Style14">
    <w:name w:val="註解方塊文字 字元"/>
    <w:basedOn w:val="DefaultParagraphFont"/>
    <w:qFormat/>
    <w:rPr>
      <w:rFonts w:ascii="Cambria" w:hAnsi="Cambria" w:eastAsia="新細明體" w:cs="Times New Roman"/>
      <w:sz w:val="18"/>
      <w:szCs w:val="18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paragraph" w:styleId="Style15">
    <w:name w:val="標題"/>
    <w:basedOn w:val="Normal"/>
    <w:next w:val="Style16"/>
    <w:qFormat/>
    <w:pPr>
      <w:keepNext/>
      <w:spacing w:before="240" w:after="120"/>
    </w:pPr>
    <w:rPr>
      <w:rFonts w:ascii="Liberation Sans" w:hAnsi="Liberation Sans" w:eastAsia="文泉驛微米黑" w:cs="Noto Sans CJK TC Regular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Noto Sans CJK TC Regular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Noto Sans CJK TC Regular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Noto Sans CJK TC Regular"/>
    </w:rPr>
  </w:style>
  <w:style w:type="paragraph" w:styleId="NoSpacing">
    <w:name w:val="No Spacing"/>
    <w:basedOn w:val="Normal"/>
    <w:qFormat/>
    <w:pPr/>
    <w:rPr>
      <w:szCs w:val="32"/>
    </w:rPr>
  </w:style>
  <w:style w:type="paragraph" w:styleId="Style20">
    <w:name w:val="Title"/>
    <w:basedOn w:val="Normal"/>
    <w:qFormat/>
    <w:pPr>
      <w:numPr>
        <w:ilvl w:val="0"/>
        <w:numId w:val="0"/>
      </w:numPr>
      <w:spacing w:before="240" w:after="60"/>
      <w:jc w:val="center"/>
      <w:outlineLvl w:val="0"/>
    </w:pPr>
    <w:rPr>
      <w:rFonts w:ascii="Cambria" w:hAnsi="Cambria" w:eastAsia="新細明體" w:cs="Times New Roman"/>
      <w:b/>
      <w:bCs/>
      <w:sz w:val="32"/>
      <w:szCs w:val="32"/>
    </w:rPr>
  </w:style>
  <w:style w:type="paragraph" w:styleId="Style21">
    <w:name w:val="Subtitle"/>
    <w:basedOn w:val="Normal"/>
    <w:qFormat/>
    <w:pPr>
      <w:spacing w:lineRule="auto" w:line="360"/>
    </w:pPr>
    <w:rPr>
      <w:b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Quote">
    <w:name w:val="Quote"/>
    <w:basedOn w:val="Normal"/>
    <w:qFormat/>
    <w:pPr/>
    <w:rPr>
      <w:rFonts w:cs="Times New Roman"/>
      <w:i/>
    </w:rPr>
  </w:style>
  <w:style w:type="paragraph" w:styleId="IntenseQuote">
    <w:name w:val="Intense Quote"/>
    <w:basedOn w:val="Normal"/>
    <w:qFormat/>
    <w:pPr>
      <w:ind w:left="720" w:right="720" w:hanging="0"/>
    </w:pPr>
    <w:rPr>
      <w:rFonts w:cs="Times New Roman"/>
      <w:b/>
      <w:i/>
      <w:szCs w:val="22"/>
    </w:rPr>
  </w:style>
  <w:style w:type="paragraph" w:styleId="TOCHeading">
    <w:name w:val="TOC Heading"/>
    <w:basedOn w:val="1"/>
    <w:qFormat/>
    <w:pPr/>
    <w:rPr/>
  </w:style>
  <w:style w:type="paragraph" w:styleId="Caption">
    <w:name w:val="caption"/>
    <w:basedOn w:val="Normal"/>
    <w:qFormat/>
    <w:pPr/>
    <w:rPr>
      <w:b/>
      <w:bCs/>
      <w:sz w:val="18"/>
      <w:szCs w:val="18"/>
    </w:rPr>
  </w:style>
  <w:style w:type="paragraph" w:styleId="Style22">
    <w:name w:val="Header"/>
    <w:basedOn w:val="Normal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Style23">
    <w:name w:val="Footer"/>
    <w:basedOn w:val="Normal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BalloonText">
    <w:name w:val="Balloon Text"/>
    <w:basedOn w:val="Normal"/>
    <w:qFormat/>
    <w:pPr/>
    <w:rPr>
      <w:rFonts w:ascii="Cambria" w:hAnsi="Cambria" w:eastAsia="新細明體" w:cs="Times New Roman"/>
      <w:sz w:val="18"/>
      <w:szCs w:val="18"/>
    </w:rPr>
  </w:style>
  <w:style w:type="paragraph" w:styleId="Style24">
    <w:name w:val="表格內容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oleObject" Target="embeddings/oleObject1.bin"/><Relationship Id="rId4" Type="http://schemas.openxmlformats.org/officeDocument/2006/relationships/image" Target="media/image2.emf"/><Relationship Id="rId5" Type="http://schemas.openxmlformats.org/officeDocument/2006/relationships/oleObject" Target="embeddings/oleObject2.bin"/><Relationship Id="rId6" Type="http://schemas.openxmlformats.org/officeDocument/2006/relationships/image" Target="media/image3.emf"/><Relationship Id="rId7" Type="http://schemas.openxmlformats.org/officeDocument/2006/relationships/image" Target="media/image4.png"/><Relationship Id="rId8" Type="http://schemas.openxmlformats.org/officeDocument/2006/relationships/oleObject" Target="embeddings/oleObject3.bin"/><Relationship Id="rId9" Type="http://schemas.openxmlformats.org/officeDocument/2006/relationships/image" Target="media/image5.emf"/><Relationship Id="rId10" Type="http://schemas.openxmlformats.org/officeDocument/2006/relationships/oleObject" Target="embeddings/oleObject4.bin"/><Relationship Id="rId11" Type="http://schemas.openxmlformats.org/officeDocument/2006/relationships/image" Target="media/image6.emf"/><Relationship Id="rId12" Type="http://schemas.openxmlformats.org/officeDocument/2006/relationships/image" Target="media/image7.png"/><Relationship Id="rId13" Type="http://schemas.openxmlformats.org/officeDocument/2006/relationships/hyperlink" Target="http://www.inpharmix.com/jps/PID_Controller_For_Lego_Mindstorms_Robots.html" TargetMode="External"/><Relationship Id="rId14" Type="http://schemas.openxmlformats.org/officeDocument/2006/relationships/hyperlink" Target="http://ir.lib.ntust.edu.tw/retrieve/50876/Optimal+PID+Controller+Design+for+DC+Motor+Positioning+Control.pdf" TargetMode="Externa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Application>LibreOffice/5.1.6.2$Linux_X86_64 LibreOffice_project/10m0$Build-2</Application>
  <Pages>6</Pages>
  <Words>1131</Words>
  <Characters>1595</Characters>
  <CharactersWithSpaces>1647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2018-02-01T05:35:00Z</dcterms:created>
  <dc:creator>ss1051210</dc:creator>
  <dc:description/>
  <dc:language>zh-TW</dc:language>
  <cp:lastModifiedBy/>
  <dcterms:modified xsi:type="dcterms:W3CDTF">2018-02-04T14:37:36Z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TWinEqns">
    <vt:bool>1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