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emf" ContentType="image/x-emf"/>
  <Override PartName="/word/media/image7.png" ContentType="image/png"/>
  <Override PartName="/word/media/image6.emf" ContentType="image/x-emf"/>
  <Override PartName="/word/media/image8.png" ContentType="image/png"/>
  <Override PartName="/word/media/image9.png" ContentType="image/png"/>
  <Override PartName="/word/media/image10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/>
        <w:spacing w:before="240" w:after="60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106</w:t>
      </w:r>
      <w:r>
        <w:rPr>
          <w:rFonts w:ascii="標楷體" w:hAnsi="標楷體" w:eastAsia="標楷體"/>
        </w:rPr>
        <w:t>學年度臺中市公私立中小學科學展覽會</w:t>
      </w:r>
    </w:p>
    <w:p>
      <w:pPr>
        <w:pStyle w:val="1"/>
        <w:keepNext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作品說明書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科　　別：生活與應用科學科（一）機電與資訊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組　　別：國中組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作品名稱：</w:t>
      </w:r>
      <w:r>
        <w:rPr>
          <w:rFonts w:eastAsia="標楷體" w:ascii="標楷體" w:hAnsi="標楷體"/>
        </w:rPr>
        <w:t>PID</w:t>
      </w:r>
      <w:r>
        <w:rPr>
          <w:rFonts w:ascii="標楷體" w:hAnsi="標楷體" w:eastAsia="標楷體"/>
        </w:rPr>
        <w:t>循線控制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關 鍵 詞： 、 、 （最多</w:t>
      </w:r>
      <w:r>
        <w:rPr>
          <w:rFonts w:eastAsia="標楷體" w:ascii="標楷體" w:hAnsi="標楷體"/>
        </w:rPr>
        <w:t>3</w:t>
      </w:r>
      <w:r>
        <w:rPr>
          <w:rFonts w:ascii="標楷體" w:hAnsi="標楷體" w:eastAsia="標楷體"/>
        </w:rPr>
        <w:t>個）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編 號：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1"/>
        <w:keepNext/>
        <w:ind w:left="480" w:right="0" w:hanging="0"/>
        <w:jc w:val="left"/>
        <w:rPr/>
      </w:pPr>
      <w:r>
        <w:rPr/>
        <w:t>摘要</w:t>
      </w:r>
    </w:p>
    <w:p>
      <w:pPr>
        <w:pStyle w:val="Normal"/>
        <w:spacing w:lineRule="auto" w:line="360"/>
        <w:rPr/>
      </w:pPr>
      <w:r>
        <w:rPr/>
        <w:t>PID</w:t>
      </w:r>
      <w:r>
        <w:rPr/>
        <w:t>為</w:t>
      </w:r>
      <w:r>
        <w:rPr/>
        <w:t>Proportional–Integral–Derivative</w:t>
      </w:r>
      <w:r>
        <w:rPr/>
        <w:t>（比例、積分、微分）的縮寫，</w:t>
      </w:r>
    </w:p>
    <w:p>
      <w:pPr>
        <w:pStyle w:val="1"/>
        <w:keepNext/>
        <w:ind w:left="480" w:right="0" w:hanging="0"/>
        <w:jc w:val="left"/>
        <w:rPr/>
      </w:pPr>
      <w:r>
        <w:rPr/>
        <w:t>壹、研究動機</w:t>
      </w:r>
    </w:p>
    <w:p>
      <w:pPr>
        <w:pStyle w:val="Normal"/>
        <w:rPr/>
      </w:pPr>
      <w:r>
        <w:rPr/>
        <w:tab/>
      </w:r>
      <w:r>
        <w:rPr/>
        <w:t>學校買了一批</w:t>
      </w:r>
      <w:r>
        <w:rPr/>
        <w:t>Mbot</w:t>
      </w:r>
      <w:r>
        <w:rPr/>
        <w:t>循線車，它由兩顆紅外線感應器判斷路面明暗（黑白），以此傳送數據供程式使用。但這種方法只能感測到黑黑、黑白、白黑、白白四種狀況，無法準確判斷車子該如何行動。我們希望能做出更精確的循線車，因而開始了這次研究。</w:t>
      </w:r>
    </w:p>
    <w:p>
      <w:pPr>
        <w:pStyle w:val="1"/>
        <w:keepNext/>
        <w:ind w:left="480" w:right="0" w:hanging="0"/>
        <w:jc w:val="left"/>
        <w:rPr/>
      </w:pPr>
      <w:r>
        <w:rPr/>
        <w:t>貳、研究目的</w:t>
      </w:r>
    </w:p>
    <w:p>
      <w:pPr>
        <w:pStyle w:val="Normal"/>
        <w:rPr/>
      </w:pPr>
      <w:r>
        <w:rPr/>
        <w:t>一、利用單感應器控制循線車</w:t>
      </w:r>
    </w:p>
    <w:p>
      <w:pPr>
        <w:pStyle w:val="Normal"/>
        <w:rPr/>
      </w:pPr>
      <w:r>
        <w:rPr/>
        <w:t>二、利用</w:t>
      </w:r>
      <w:r>
        <w:rPr/>
        <w:t>PID</w:t>
      </w:r>
      <w:r>
        <w:rPr/>
        <w:t>優化自製循線車</w:t>
      </w:r>
    </w:p>
    <w:p>
      <w:pPr>
        <w:pStyle w:val="Normal"/>
        <w:rPr/>
      </w:pPr>
      <w:r>
        <w:rPr/>
        <w:t>三、研究調整各項參數對循線能力的影響</w:t>
      </w:r>
    </w:p>
    <w:p>
      <w:pPr>
        <w:pStyle w:val="1"/>
        <w:keepNext/>
        <w:ind w:left="480" w:right="0" w:hanging="0"/>
        <w:jc w:val="left"/>
        <w:rPr/>
      </w:pPr>
      <w:r>
        <w:rPr/>
      </w:r>
      <w:r>
        <w:br w:type="page"/>
      </w:r>
    </w:p>
    <w:p>
      <w:pPr>
        <w:pStyle w:val="1"/>
        <w:ind w:left="480" w:right="0" w:hanging="0"/>
        <w:jc w:val="left"/>
        <w:rPr/>
      </w:pPr>
      <w:r>
        <w:rPr/>
        <w:t>參、研究設備及器材</w:t>
      </w:r>
    </w:p>
    <w:tbl>
      <w:tblPr>
        <w:tblW w:w="9701" w:type="dxa"/>
        <w:jc w:val="left"/>
        <w:tblInd w:w="-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2434"/>
        <w:gridCol w:w="2783"/>
        <w:gridCol w:w="2071"/>
        <w:gridCol w:w="2412"/>
      </w:tblGrid>
      <w:tr>
        <w:trPr/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馬達驅動板</w:t>
            </w:r>
            <w:r>
              <w:rPr/>
              <w:t>L298N</w:t>
            </w:r>
          </w:p>
        </w:tc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紅外線感應器</w:t>
            </w:r>
            <w:r>
              <w:rPr/>
              <w:t>TCRT5000</w:t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Arduino Mega 2500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1"/>
        <w:keepNext/>
        <w:ind w:left="480" w:right="0" w:hanging="0"/>
        <w:jc w:val="left"/>
        <w:rPr/>
      </w:pPr>
      <w:r>
        <w:rPr/>
      </w:r>
      <w:r>
        <w:br w:type="page"/>
      </w:r>
    </w:p>
    <w:p>
      <w:pPr>
        <w:pStyle w:val="1"/>
        <w:ind w:left="480" w:right="0" w:hanging="0"/>
        <w:jc w:val="left"/>
        <w:rPr/>
      </w:pPr>
      <w:r>
        <w:rPr/>
        <w:t>肆、研究過程</w:t>
      </w:r>
    </w:p>
    <w:p>
      <w:pPr>
        <w:pStyle w:val="3"/>
        <w:rPr/>
      </w:pPr>
      <w:r>
        <w:rPr/>
        <w:tab/>
      </w:r>
      <w:r>
        <w:rPr/>
        <w:t>程式邏輯：</w:t>
      </w:r>
    </w:p>
    <w:p>
      <w:pPr>
        <w:pStyle w:val="Style16"/>
        <w:rPr/>
      </w:pPr>
      <w:r>
        <w:rPr/>
        <w:tab/>
      </w:r>
      <w:r>
        <w:rPr/>
        <w:t>我們只使用一個循跡感測器，並且讓車子走在</w:t>
      </w:r>
      <w:r>
        <w:rPr>
          <w:b/>
          <w:bCs/>
        </w:rPr>
        <w:t>黑白交界處</w:t>
      </w:r>
      <w:r>
        <w:rPr>
          <w:b w:val="false"/>
          <w:bCs w:val="false"/>
        </w:rPr>
        <w:t>。感測器有一個偵測範圍，當範圍內黑白面積相當，接收到的值就會是黑白線的平均值，如果偏向黑線，數值就會比較高，反之則比較低，那車子可以藉由數字的高低來判斷左右修正，即可讓車子走在中央。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6"/>
        <w:rPr/>
      </w:pPr>
      <w:r>
        <w:rPr>
          <w:b w:val="false"/>
          <w:bCs w:val="false"/>
        </w:rPr>
        <w:tab/>
      </w:r>
    </w:p>
    <w:p>
      <w:pPr>
        <w:pStyle w:val="Style16"/>
        <w:rPr/>
      </w:pPr>
      <w:r>
        <w:rPr>
          <w:b w:val="false"/>
          <w:bCs w:val="false"/>
        </w:rPr>
        <w:tab/>
      </w:r>
    </w:p>
    <w:p>
      <w:pPr>
        <w:pStyle w:val="Style21"/>
        <w:rPr/>
      </w:pPr>
      <w:r>
        <w:rPr/>
        <w:t>一、車體控制程式</w:t>
      </w:r>
    </w:p>
    <w:p>
      <w:pPr>
        <w:pStyle w:val="Style21"/>
        <w:rPr>
          <w:b/>
          <w:b/>
          <w:bCs/>
          <w:sz w:val="22"/>
          <w:szCs w:val="26"/>
        </w:rPr>
      </w:pPr>
      <w:r>
        <w:rPr>
          <w:rFonts w:eastAsia="新細明體" w:cs="Times New Roman"/>
          <w:b/>
          <w:bCs/>
          <w:color w:val="00000A"/>
          <w:sz w:val="22"/>
          <w:szCs w:val="26"/>
          <w:lang w:val="en-US" w:eastAsia="zh-TW" w:bidi="ar-SA"/>
        </w:rPr>
        <w:tab/>
        <w:t>1.</w:t>
      </w:r>
      <w:r>
        <w:rPr>
          <w:rFonts w:ascii="Calibri" w:hAnsi="Calibri" w:cs="Times New Roman"/>
          <w:b/>
          <w:bCs/>
          <w:color w:val="00000A"/>
          <w:sz w:val="22"/>
          <w:szCs w:val="26"/>
          <w:lang w:val="en-US" w:eastAsia="zh-TW" w:bidi="ar-SA"/>
        </w:rPr>
        <w:t>馬達驅動：</w:t>
      </w:r>
    </w:p>
    <w:p>
      <w:pPr>
        <w:pStyle w:val="Style21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ab/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將馬達接上馬達驅動版，電源以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9V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電池驅動，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Arduino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板接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4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條電線到驅動版上，每兩條電線控制一顆馬達。當電線一條為高電壓、一條為低電壓，馬達將正轉，反之則反轉，停車則是兩條電壓相當。轉速由高電壓電線的電壓控制，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Arduino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板的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pwn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類比輸出為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0~255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，因此馬達轉速可為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-255~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255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。</w:t>
      </w:r>
    </w:p>
    <w:p>
      <w:pPr>
        <w:pStyle w:val="Style21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ab/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此馬達控制函數簡化了這個過程，使用時只要輸入左、右馬達的轉速（包括負數）即可。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040" cy="10692130"/>
            <wp:effectExtent l="0" t="0" r="0" b="0"/>
            <wp:wrapSquare wrapText="largest"/>
            <wp:docPr id="1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78" t="0" r="1089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1"/>
        <w:rPr/>
      </w:pPr>
      <w:r>
        <w:rPr/>
      </w:r>
      <w:r>
        <w:br w:type="page"/>
      </w:r>
    </w:p>
    <w:p>
      <w:pPr>
        <w:pStyle w:val="Style21"/>
        <w:rPr/>
      </w:pPr>
      <w:r>
        <w:rPr/>
        <w:t>2.</w:t>
      </w:r>
      <w:r>
        <w:rPr/>
        <w:t>紅外線循線感測</w:t>
      </w:r>
    </w:p>
    <w:p>
      <w:pPr>
        <w:pStyle w:val="Style21"/>
        <w:rPr>
          <w:b w:val="false"/>
          <w:b w:val="false"/>
          <w:bCs w:val="false"/>
        </w:rPr>
      </w:pPr>
      <w:r>
        <w:rPr>
          <w:rFonts w:eastAsia="新細明體" w:ascii="新細明體" w:hAnsi="新細明體"/>
          <w:b w:val="false"/>
          <w:bCs w:val="false"/>
          <w:sz w:val="24"/>
          <w:szCs w:val="24"/>
        </w:rPr>
        <w:tab/>
      </w:r>
      <w:r>
        <w:rPr>
          <w:rFonts w:ascii="新細明體" w:hAnsi="新細明體"/>
          <w:b w:val="false"/>
          <w:bCs w:val="false"/>
          <w:sz w:val="24"/>
          <w:szCs w:val="24"/>
        </w:rPr>
        <w:t>紅外線感測器讀到的類比數值範圍在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1~5V</w:t>
      </w:r>
      <w:r>
        <w:rPr>
          <w:rFonts w:ascii="新細明體" w:hAnsi="新細明體"/>
          <w:b w:val="false"/>
          <w:bCs w:val="false"/>
          <w:sz w:val="24"/>
          <w:szCs w:val="24"/>
        </w:rPr>
        <w:t>間，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arduino</w:t>
      </w:r>
      <w:r>
        <w:rPr>
          <w:rFonts w:ascii="新細明體" w:hAnsi="新細明體"/>
          <w:b w:val="false"/>
          <w:bCs w:val="false"/>
          <w:sz w:val="24"/>
          <w:szCs w:val="24"/>
        </w:rPr>
        <w:t>的類比輸入為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0~1023</w:t>
      </w:r>
      <w:r>
        <w:rPr>
          <w:rFonts w:ascii="新細明體" w:hAnsi="新細明體"/>
          <w:b w:val="false"/>
          <w:bCs w:val="false"/>
          <w:sz w:val="24"/>
          <w:szCs w:val="24"/>
        </w:rPr>
        <w:t>。</w:t>
      </w:r>
    </w:p>
    <w:p>
      <w:pPr>
        <w:pStyle w:val="Style21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/>
          <w:b w:val="false"/>
          <w:bCs w:val="false"/>
          <w:sz w:val="24"/>
          <w:szCs w:val="24"/>
        </w:rPr>
        <w:t>循跡感測器有一對發射和接收的紅外線模組，接收到的量越高則輸出電壓會越低，而黑色吸收紅外線量較白線高，因此黑線數值較高、白線數值較低。</w:t>
      </w:r>
    </w:p>
    <w:p>
      <w:pPr>
        <w:pStyle w:val="Style21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/>
          <w:b w:val="false"/>
          <w:bCs w:val="false"/>
          <w:sz w:val="24"/>
          <w:szCs w:val="24"/>
        </w:rPr>
        <w:t>此函數返回值是距離黑白中間的距離，範圍是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±100</w:t>
      </w:r>
      <w:r>
        <w:rPr>
          <w:rFonts w:ascii="新細明體" w:hAnsi="新細明體"/>
          <w:b w:val="false"/>
          <w:bCs w:val="false"/>
          <w:sz w:val="24"/>
          <w:szCs w:val="24"/>
        </w:rPr>
        <w:t>。</w:t>
      </w:r>
    </w:p>
    <w:p>
      <w:pPr>
        <w:pStyle w:val="Style16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b w:val="false"/>
          <w:bCs w:val="false"/>
          <w:sz w:val="24"/>
          <w:szCs w:val="24"/>
        </w:rPr>
        <w:tab/>
      </w:r>
      <w:r>
        <w:rPr>
          <w:rFonts w:ascii="新細明體" w:hAnsi="新細明體"/>
          <w:b w:val="false"/>
          <w:bCs w:val="false"/>
          <w:sz w:val="24"/>
          <w:szCs w:val="24"/>
        </w:rPr>
        <w:t>由於黑白線的範圍不固定，轉彎的範圍也會因此有所波動，為了固定最大與最小範圍，我們將感測器接收到的訊息</w:t>
      </w:r>
      <w:r>
        <w:rPr>
          <w:rFonts w:ascii="新細明體" w:hAnsi="新細明體"/>
          <w:b/>
          <w:bCs/>
          <w:sz w:val="24"/>
          <w:szCs w:val="24"/>
        </w:rPr>
        <w:t>標準化</w:t>
      </w:r>
      <w:r>
        <w:rPr>
          <w:rFonts w:ascii="新細明體" w:hAnsi="新細明體"/>
          <w:b w:val="false"/>
          <w:bCs w:val="false"/>
          <w:sz w:val="24"/>
          <w:szCs w:val="24"/>
        </w:rPr>
        <w:t>，將其固定在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±100</w:t>
      </w:r>
      <w:r>
        <w:rPr>
          <w:rFonts w:ascii="新細明體" w:hAnsi="新細明體"/>
          <w:b w:val="false"/>
          <w:bCs w:val="false"/>
          <w:sz w:val="24"/>
          <w:szCs w:val="24"/>
        </w:rPr>
        <w:t>以內，使我們可以預測轉彎的最大與最小值，並且避免感測器讀到錯誤數值而造成車子暴衝。</w:t>
      </w:r>
    </w:p>
    <w:p>
      <w:pPr>
        <w:pStyle w:val="Style21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7520" cy="3756660"/>
            <wp:effectExtent l="0" t="0" r="0" b="0"/>
            <wp:wrapTopAndBottom/>
            <wp:docPr id="2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評分機制</w:t>
      </w:r>
      <w:r>
        <w:rPr>
          <w:b w:val="false"/>
          <w:bCs w:val="false"/>
        </w:rPr>
        <w:tab/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為了量化每次運行的結果，我們使用</w:t>
      </w:r>
      <w:r>
        <w:rPr>
          <w:b/>
          <w:bCs/>
        </w:rPr>
        <w:t>error</w:t>
      </w:r>
      <w:r>
        <w:rPr>
          <w:b/>
          <w:bCs/>
        </w:rPr>
        <w:t>的平均值</w:t>
      </w:r>
      <w:r>
        <w:rPr>
          <w:b w:val="false"/>
          <w:bCs w:val="false"/>
        </w:rPr>
        <w:t>來計分。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是感測器讀取並處理後的數值，代表距離黑白交界的差。我們將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的平均值加總，並將平均顯示在</w:t>
      </w:r>
      <w:r>
        <w:rPr>
          <w:b w:val="false"/>
          <w:bCs w:val="false"/>
        </w:rPr>
        <w:t>LCD</w:t>
      </w:r>
      <w:r>
        <w:rPr>
          <w:b w:val="false"/>
          <w:bCs w:val="false"/>
        </w:rPr>
        <w:t>上，即可知道此次運行的分數。有了此分數，我們就可以知道運行時車體距離黑白交界的平均誤差。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740" cy="2636520"/>
            <wp:effectExtent l="0" t="0" r="0" b="0"/>
            <wp:wrapTopAndBottom/>
            <wp:docPr id="3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/>
      </w:pPr>
      <w:r>
        <w:rPr/>
        <w:t>4.</w:t>
      </w:r>
      <w:r>
        <w:rPr/>
        <w:t>自動學習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避免場地變化以及光線明暗造成誤差，車子會在每次啟動的前五秒紀錄黑白線的數值，將最黑（偵測數字最大）的作為黑線，最白（偵測數字最小）的作為白線，並在啟動五秒後鎖定這些值，避免後續造成誤差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1340485</wp:posOffset>
            </wp:positionH>
            <wp:positionV relativeFrom="paragraph">
              <wp:posOffset>400050</wp:posOffset>
            </wp:positionV>
            <wp:extent cx="3413760" cy="2773680"/>
            <wp:effectExtent l="0" t="0" r="0" b="0"/>
            <wp:wrapTopAndBottom/>
            <wp:docPr id="4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21"/>
        <w:rPr/>
      </w:pPr>
      <w:r>
        <w:rPr/>
        <w:t>一、車體測試</w:t>
      </w:r>
    </w:p>
    <w:p>
      <w:pPr>
        <w:pStyle w:val="Normal"/>
        <w:rPr/>
      </w:pPr>
      <w:r>
        <w:rPr/>
        <w:tab/>
      </w:r>
      <w:r>
        <w:rPr/>
        <w:t>我們組裝了一輛循線車（見圖</w:t>
      </w:r>
      <w:r>
        <w:rPr/>
        <w:t>X</w:t>
      </w:r>
      <w:r>
        <w:rPr/>
        <w:t>）。為了確認這台車能正常運作，我們先進行了一系列的測試：包括車體測量、移動測試及紅外線感測範圍測試，並計算正常狀況的理論值。</w:t>
      </w:r>
    </w:p>
    <w:p>
      <w:pPr>
        <w:pStyle w:val="Normal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（一）、符號說明</w:t>
      </w:r>
    </w:p>
    <w:p>
      <w:pPr>
        <w:pStyle w:val="Normal"/>
        <w:ind w:left="240" w:right="0" w:hanging="0"/>
        <w:rPr/>
      </w:pPr>
      <w:r>
        <w:rPr/>
        <w:tab/>
      </w:r>
      <w:r>
        <w:rPr/>
        <w:t>在此說明以下使用的符號，如下表：</w:t>
      </w:r>
    </w:p>
    <w:tbl>
      <w:tblPr>
        <w:tblW w:w="9615" w:type="dxa"/>
        <w:jc w:val="left"/>
        <w:tblInd w:w="1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324"/>
        <w:gridCol w:w="1324"/>
        <w:gridCol w:w="322"/>
        <w:gridCol w:w="2718"/>
        <w:gridCol w:w="425"/>
        <w:gridCol w:w="2835"/>
        <w:gridCol w:w="284"/>
        <w:gridCol w:w="1381"/>
      </w:tblGrid>
      <w:tr>
        <w:trPr/>
        <w:tc>
          <w:tcPr>
            <w:tcW w:w="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a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旋轉角度</w:t>
            </w:r>
          </w:p>
        </w:tc>
        <w:tc>
          <w:tcPr>
            <w:tcW w:w="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圓周長（繞轉產生的圓）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弧長（繞轉的移動距離）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繞轉半徑</w:t>
            </w:r>
          </w:p>
        </w:tc>
      </w:tr>
      <w:tr>
        <w:trPr/>
        <w:tc>
          <w:tcPr>
            <w:tcW w:w="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馬達轉速</w:t>
            </w:r>
          </w:p>
        </w:tc>
        <w:tc>
          <w:tcPr>
            <w:tcW w:w="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車的移動速度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w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兩輪最高點距離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t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運轉時間</w:t>
            </w:r>
          </w:p>
        </w:tc>
      </w:tr>
    </w:tbl>
    <w:p>
      <w:pPr>
        <w:pStyle w:val="Normal"/>
        <w:ind w:left="240" w:right="0" w:hanging="0"/>
        <w:rPr/>
      </w:pPr>
      <w:r>
        <w:rPr/>
        <w:t xml:space="preserve"> </w:t>
      </w:r>
    </w:p>
    <w:p>
      <w:pPr>
        <w:pStyle w:val="Normal"/>
        <w:ind w:left="240" w:right="0" w:firstLine="240"/>
        <w:rPr/>
      </w:pPr>
      <w:r>
        <w:rPr/>
        <w:t>繞轉是指車以等速轉向時，經相同路徑行圓周運動的過程。此外，各項編號皆由左至右，如：（</w:t>
      </w:r>
      <w:r>
        <w:rPr/>
        <w:t>r</w:t>
      </w:r>
      <w:r>
        <w:rPr>
          <w:vertAlign w:val="subscript"/>
        </w:rPr>
        <w:t>1</w:t>
      </w:r>
      <w:r>
        <w:rPr/>
        <w:t>,r</w:t>
      </w:r>
      <w:r>
        <w:rPr>
          <w:vertAlign w:val="subscript"/>
        </w:rPr>
        <w:t>2</w:t>
      </w:r>
      <w:r>
        <w:rPr/>
        <w:t>） 即代表（左馬達轉速</w:t>
      </w:r>
      <w:r>
        <w:rPr/>
        <w:t>,</w:t>
      </w:r>
      <w:r>
        <w:rPr/>
        <w:t>右馬達轉速）。</w:t>
      </w:r>
    </w:p>
    <w:p>
      <w:pPr>
        <w:pStyle w:val="Normal"/>
        <w:ind w:left="240" w:right="0" w:hanging="0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（二）、車體測量與理論值計算</w:t>
      </w:r>
    </w:p>
    <w:p>
      <w:pPr>
        <w:pStyle w:val="Normal"/>
        <w:ind w:left="240" w:right="0" w:firstLine="240"/>
        <w:rPr/>
      </w:pPr>
      <w:r>
        <w:rPr/>
        <w:t>由於車體固定，左右車輪的移動路徑在理想狀況下會是同心圓。若馬達轉速</w:t>
      </w:r>
      <w:r>
        <w:rPr>
          <w:rFonts w:ascii="Cambria Math" w:hAnsi="Cambria Math"/>
        </w:rPr>
        <w:t>∝</w:t>
      </w:r>
      <w:r>
        <w:rPr/>
        <w:t>車輪移動距離，則各項數據關係可以下列方程式表示：</w:t>
      </w:r>
    </w:p>
    <w:p>
      <w:pPr>
        <w:pStyle w:val="Normal"/>
        <w:ind w:left="240" w:right="0" w:firstLine="360"/>
        <w:rPr/>
      </w:pPr>
      <w:r>
        <w:rPr/>
        <w:object>
          <v:shape id="ole_rId6" style="width:160.35pt;height:31.35pt" o:ole="">
            <v:imagedata r:id="rId7" o:title=""/>
          </v:shape>
          <o:OLEObject Type="Embed" ProgID="" ShapeID="ole_rId6" DrawAspect="Content" ObjectID="_1019387969" r:id="rId6"/>
        </w:object>
      </w:r>
      <w:r>
        <w:rPr/>
        <w:tab/>
        <w:tab/>
        <w:t>r</w:t>
      </w:r>
      <w:r>
        <w:rPr/>
        <w:t>為</w:t>
      </w:r>
      <w:r>
        <w:rPr/>
        <w:t>r1</w:t>
      </w:r>
      <w:r>
        <w:rPr/>
        <w:t>或</w:t>
      </w:r>
      <w:r>
        <w:rPr/>
        <w:t>r2</w:t>
      </w:r>
    </w:p>
    <w:p>
      <w:pPr>
        <w:pStyle w:val="Normal"/>
        <w:ind w:left="240" w:right="0" w:hanging="0"/>
        <w:rPr/>
      </w:pPr>
      <w:r>
        <w:rPr/>
        <w:t>其中</w:t>
      </w:r>
      <w:r>
        <w:rPr/>
        <w:t>a</w:t>
      </w:r>
      <w:r>
        <w:rPr/>
        <w:t>代表車體旋轉角度，</w:t>
      </w:r>
      <w:r>
        <w:rPr/>
        <w:t>d</w:t>
      </w:r>
      <w:r>
        <w:rPr/>
        <w:t>代表左輪移動距離（弧長），</w:t>
      </w:r>
      <w:r>
        <w:rPr/>
        <w:t>c</w:t>
      </w:r>
      <w:r>
        <w:rPr/>
        <w:t>代表左輪繞轉的圓周長，</w:t>
      </w:r>
      <w:r>
        <w:rPr/>
        <w:t>s</w:t>
      </w:r>
      <w:r>
        <w:rPr/>
        <w:t>代表車體移動速率，</w:t>
      </w:r>
      <w:r>
        <w:rPr/>
        <w:t>t</w:t>
      </w:r>
      <w:r>
        <w:rPr/>
        <w:t>代表馬達運轉時間，</w:t>
      </w:r>
      <w:r>
        <w:rPr/>
        <w:t>r</w:t>
      </w:r>
      <w:r>
        <w:rPr/>
        <w:t>代表繞轉圓的半徑；又因為馬達轉速</w:t>
      </w:r>
      <w:r>
        <w:rPr>
          <w:rFonts w:ascii="Cambria Math" w:hAnsi="Cambria Math" w:cs="Cambria Math"/>
        </w:rPr>
        <w:t>∝</w:t>
      </w:r>
      <w:r>
        <w:rPr/>
        <w:t>車輪移動距離</w:t>
      </w:r>
      <w:r>
        <w:rPr>
          <w:rFonts w:ascii="Cambria Math" w:hAnsi="Cambria Math" w:cs="Cambria Math"/>
        </w:rPr>
        <w:t>⇒</w:t>
      </w:r>
      <w:r>
        <w:rPr/>
        <w:t>兩馬達的轉速</w:t>
      </w:r>
      <w:r>
        <w:rPr>
          <w:rFonts w:ascii="Cambria Math" w:hAnsi="Cambria Math" w:cs="Cambria Math"/>
        </w:rPr>
        <w:t>∝</w:t>
      </w:r>
      <w:r>
        <w:rPr/>
        <w:t>兩圓的半徑</w:t>
      </w:r>
      <w:r>
        <w:rPr/>
        <w:t>r</w:t>
      </w:r>
      <w:r>
        <w:rPr>
          <w:vertAlign w:val="subscript"/>
        </w:rPr>
        <w:t>1</w:t>
      </w:r>
      <w:r>
        <w:rPr/>
        <w:t>（左）與</w:t>
      </w:r>
      <w:r>
        <w:rPr/>
        <w:t>r</w:t>
      </w:r>
      <w:r>
        <w:rPr>
          <w:vertAlign w:val="subscript"/>
        </w:rPr>
        <w:t>2</w:t>
      </w:r>
      <w:r>
        <w:rPr/>
        <w:t>（右），</w:t>
      </w:r>
      <w:r>
        <w:rPr>
          <w:rFonts w:ascii="Cambria Math" w:hAnsi="Cambria Math"/>
        </w:rPr>
        <w:t>∴</w:t>
      </w:r>
      <w:r>
        <w:rPr>
          <w:rFonts w:ascii="Cambria Math" w:hAnsi="Cambria Math"/>
        </w:rPr>
        <w:object>
          <v:shape id="ole_rId8" style="width:68pt;height:34pt" o:ole="">
            <v:imagedata r:id="rId9" o:title=""/>
          </v:shape>
          <o:OLEObject Type="Embed" ProgID="" ShapeID="ole_rId8" DrawAspect="Content" ObjectID="_1790951832" r:id="rId8"/>
        </w:object>
      </w:r>
      <w:r>
        <w:rPr/>
        <w:t xml:space="preserve"> 。右輪通用此式。</w:t>
      </w:r>
    </w:p>
    <w:p>
      <w:pPr>
        <w:pStyle w:val="Normal"/>
        <w:rPr/>
      </w:pPr>
      <w:r>
        <w:rPr/>
      </w:r>
    </w:p>
    <w:tbl>
      <w:tblPr>
        <w:tblW w:w="9854" w:type="dxa"/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5074"/>
        <w:gridCol w:w="4779"/>
      </w:tblGrid>
      <w:tr>
        <w:trPr/>
        <w:tc>
          <w:tcPr>
            <w:tcW w:w="5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085465" cy="3186430"/>
                  <wp:effectExtent l="0" t="0" r="0" b="0"/>
                  <wp:docPr id="5" name="圖片 10" descr="C:\Users\ss1051210\AppData\Local\Microsoft\Windows\INetCache\Content.Word\車轉動示意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10" descr="C:\Users\ss1051210\AppData\Local\Microsoft\Windows\INetCache\Content.Word\車轉動示意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5465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ind w:left="240" w:right="0" w:hanging="0"/>
              <w:rPr/>
            </w:pPr>
            <w:r>
              <w:rPr/>
              <w:t>w = 13.2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r</w:t>
            </w:r>
            <w:r>
              <w:rPr>
                <w:vertAlign w:val="subscript"/>
              </w:rPr>
              <w:t xml:space="preserve">1 </w:t>
            </w:r>
            <w:r>
              <w:rPr/>
              <w:t>= 13.2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r</w:t>
            </w:r>
            <w:r>
              <w:rPr>
                <w:vertAlign w:val="subscript"/>
              </w:rPr>
              <w:t>2</w:t>
            </w:r>
            <w:r>
              <w:rPr/>
              <w:t xml:space="preserve"> = 26.4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（</w:t>
            </w:r>
            <w:r>
              <w:rPr/>
              <w:t>m</w:t>
            </w:r>
            <w:r>
              <w:rPr>
                <w:vertAlign w:val="subscript"/>
              </w:rPr>
              <w:t>1</w:t>
            </w:r>
            <w:r>
              <w:rPr/>
              <w:t>,m</w:t>
            </w:r>
            <w:r>
              <w:rPr>
                <w:vertAlign w:val="subscript"/>
              </w:rPr>
              <w:t>2</w:t>
            </w:r>
            <w:r>
              <w:rPr/>
              <w:t>）</w:t>
            </w:r>
            <w:r>
              <w:rPr/>
              <w:t>=</w:t>
            </w:r>
            <w:r>
              <w:rPr/>
              <w:t>（</w:t>
            </w:r>
            <w:r>
              <w:rPr/>
              <w:t>100,200</w:t>
            </w:r>
            <w:r>
              <w:rPr/>
              <w:t>）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d</w:t>
            </w:r>
            <w:r>
              <w:rPr>
                <w:vertAlign w:val="subscript"/>
              </w:rPr>
              <w:t>1</w:t>
            </w:r>
            <w:r>
              <w:rPr/>
              <w:t>、</w:t>
            </w:r>
            <w:r>
              <w:rPr/>
              <w:t>d</w:t>
            </w:r>
            <w:r>
              <w:rPr>
                <w:vertAlign w:val="subscript"/>
              </w:rPr>
              <w:t>2</w:t>
            </w:r>
            <w:r>
              <w:rPr/>
              <w:t>隨時間（</w:t>
            </w:r>
            <w:r>
              <w:rPr/>
              <w:t>t</w:t>
            </w:r>
            <w:r>
              <w:rPr/>
              <w:t>）改變。</w:t>
            </w:r>
          </w:p>
          <w:p>
            <w:pPr>
              <w:pStyle w:val="Normal"/>
              <w:rPr/>
            </w:pPr>
            <w:r>
              <w:rPr/>
              <w:t>s</w:t>
            </w:r>
            <w:r>
              <w:rPr/>
              <w:t>與</w:t>
            </w:r>
            <w:r>
              <w:rPr/>
              <w:t>m</w:t>
            </w:r>
            <w:r>
              <w:rPr/>
              <w:t>成正比，將在移動測試中計算關係。</w:t>
            </w:r>
          </w:p>
        </w:tc>
      </w:tr>
    </w:tbl>
    <w:p>
      <w:pPr>
        <w:pStyle w:val="Normal"/>
        <w:jc w:val="center"/>
        <w:rPr/>
      </w:pPr>
      <w:r>
        <w:rPr>
          <w:rFonts w:ascii="新細明體" w:hAnsi="新細明體"/>
          <w:b/>
        </w:rPr>
        <w:t>圖</w:t>
      </w:r>
      <w:r>
        <w:rPr>
          <w:rFonts w:ascii="新細明體" w:hAnsi="新細明體"/>
          <w:b/>
        </w:rPr>
        <w:fldChar w:fldCharType="begin"/>
      </w:r>
      <w:r>
        <w:instrText> SEQ 圖表 \* ARABIC 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b/>
        </w:rPr>
        <w:t xml:space="preserve"> 轉速為（</w:t>
      </w:r>
      <w:r>
        <w:rPr>
          <w:rFonts w:eastAsia="新細明體" w:ascii="新細明體" w:hAnsi="新細明體"/>
          <w:b/>
        </w:rPr>
        <w:t>100,200</w:t>
      </w:r>
      <w:r>
        <w:rPr>
          <w:rFonts w:ascii="新細明體" w:hAnsi="新細明體"/>
          <w:b/>
        </w:rPr>
        <w:t xml:space="preserve">）時，兩輪會沿固定路徑行進且路徑長比 </w:t>
      </w:r>
      <w:r>
        <w:rPr>
          <w:rFonts w:eastAsia="新細明體" w:ascii="新細明體" w:hAnsi="新細明體"/>
          <w:b/>
        </w:rPr>
        <w:t>= 1</w:t>
      </w:r>
      <w:r>
        <w:rPr>
          <w:rFonts w:ascii="新細明體" w:hAnsi="新細明體"/>
          <w:b/>
        </w:rPr>
        <w:t>：</w:t>
      </w:r>
      <w:r>
        <w:rPr>
          <w:rFonts w:eastAsia="新細明體" w:ascii="新細明體" w:hAnsi="新細明體"/>
          <w:b/>
        </w:rPr>
        <w:t>2</w:t>
      </w:r>
    </w:p>
    <w:p>
      <w:pPr>
        <w:pStyle w:val="Normal"/>
        <w:ind w:left="240" w:right="0" w:hanging="0"/>
        <w:rPr/>
      </w:pPr>
      <w:r>
        <w:rPr/>
        <w:t>（二）、移動測試</w:t>
      </w:r>
    </w:p>
    <w:p>
      <w:pPr>
        <w:pStyle w:val="Normal"/>
        <w:ind w:left="240" w:right="0" w:firstLine="240"/>
        <w:rPr/>
      </w:pPr>
      <w:r>
        <w:rPr/>
        <w:t>我們想知道馬達轉速是否與車輪的移動距離成正比，還有馬達轉速與車體移動速度的關係。每項測試均取偏轉角度</w:t>
      </w:r>
      <w:r>
        <w:rPr/>
        <w:t>5</w:t>
      </w:r>
      <w:r>
        <w:rPr/>
        <w:t>度以內的</w:t>
      </w:r>
      <w:r>
        <w:rPr/>
        <w:t>4</w:t>
      </w:r>
      <w:r>
        <w:rPr/>
        <w:t>次結果。如下表：</w:t>
      </w:r>
    </w:p>
    <w:p>
      <w:pPr>
        <w:pStyle w:val="1"/>
        <w:keepNext/>
        <w:ind w:left="480" w:right="0" w:hanging="0"/>
        <w:rPr/>
      </w:pPr>
      <w:r>
        <w:rPr>
          <w:rFonts w:ascii="新細明體" w:hAnsi="新細明體"/>
          <w:sz w:val="24"/>
          <w:szCs w:val="24"/>
        </w:rPr>
        <w:t>表</w:t>
      </w:r>
      <w:r>
        <w:rPr>
          <w:rFonts w:ascii="新細明體" w:hAnsi="新細明體"/>
          <w:sz w:val="24"/>
          <w:szCs w:val="24"/>
        </w:rPr>
        <w:fldChar w:fldCharType="begin"/>
      </w:r>
      <w:r>
        <w:instrText> SEQ 表格 \* ARABIC 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sz w:val="24"/>
          <w:szCs w:val="24"/>
        </w:rPr>
        <w:tab/>
        <w:t xml:space="preserve"> </w:t>
      </w:r>
      <w:r>
        <w:rPr>
          <w:rFonts w:ascii="新細明體" w:hAnsi="新細明體"/>
          <w:sz w:val="24"/>
          <w:szCs w:val="24"/>
        </w:rPr>
        <w:t>移動測試結果</w:t>
      </w:r>
    </w:p>
    <w:tbl>
      <w:tblPr>
        <w:tblW w:w="9694" w:type="dxa"/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4150"/>
        <w:gridCol w:w="3041"/>
        <w:gridCol w:w="2503"/>
      </w:tblGrid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起速</w:t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轉速（馬達運轉一秒）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移動距離（</w:t>
            </w:r>
            <w:r>
              <w:rPr>
                <w:color w:val="000000"/>
              </w:rPr>
              <w:t>cm</w:t>
            </w:r>
            <w:r>
              <w:rPr>
                <w:color w:val="000000"/>
              </w:rPr>
              <w:t>）</w:t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50,50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100,100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150,150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200,200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經測試，得出</w:t>
      </w:r>
      <w:r>
        <w:rPr>
          <w:color w:val="000000"/>
        </w:rPr>
        <w:t>s</w:t>
      </w:r>
      <w:r>
        <w:rPr>
          <w:rFonts w:eastAsia="新細明體" w:cs="細明體" w:ascii="新細明體" w:hAnsi="新細明體"/>
          <w:color w:val="000000"/>
        </w:rPr>
        <w:t>≒</w:t>
      </w:r>
      <w:r>
        <w:rPr>
          <w:rFonts w:eastAsia="新細明體" w:cs="細明體"/>
          <w:color w:val="000000"/>
        </w:rPr>
        <w:t>0.4</w:t>
      </w:r>
      <w:r>
        <w:rPr>
          <w:rFonts w:eastAsia="新細明體" w:cs="細明體" w:ascii="Cambria" w:hAnsi="Cambria"/>
          <w:color w:val="000000"/>
        </w:rPr>
        <w:t>m</w:t>
      </w:r>
      <w:r>
        <w:rPr>
          <w:rFonts w:ascii="Cambria" w:hAnsi="Cambria" w:cs="細明體"/>
          <w:color w:val="000000"/>
        </w:rPr>
        <w:t>。</w:t>
      </w:r>
    </w:p>
    <w:p>
      <w:pPr>
        <w:pStyle w:val="Normal"/>
        <w:ind w:left="0" w:right="0" w:firstLine="240"/>
        <w:rPr/>
      </w:pPr>
      <w:r>
        <w:rPr/>
        <w:t>（三）、紅外線感測範圍測試</w:t>
      </w:r>
    </w:p>
    <w:p>
      <w:pPr>
        <w:pStyle w:val="Normal"/>
        <w:ind w:left="240" w:right="0" w:hanging="0"/>
        <w:rPr/>
      </w:pPr>
      <w:r>
        <w:rPr/>
        <w:tab/>
      </w:r>
      <w:r>
        <w:rPr/>
        <w:t>我們用手機拍下紅外線感應器的照射範圍，再以智高積木作為比例尺計算感測面積。此範圍大約等同一個直徑</w:t>
      </w:r>
      <w:r>
        <w:rPr/>
        <w:t>2cm</w:t>
      </w:r>
      <w:r>
        <w:rPr/>
        <w:t>的圓。如下圖：</w:t>
      </w:r>
    </w:p>
    <w:p>
      <w:pPr>
        <w:pStyle w:val="Normal"/>
        <w:ind w:left="240" w:right="0" w:hanging="0"/>
        <w:rPr/>
      </w:pPr>
      <w:r>
        <w:rPr/>
        <w:t>圖片</w:t>
      </w:r>
    </w:p>
    <w:p>
      <w:pPr>
        <w:pStyle w:val="Normal"/>
        <w:ind w:left="240" w:right="0" w:hanging="0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（四）、結論</w:t>
      </w:r>
    </w:p>
    <w:p>
      <w:pPr>
        <w:pStyle w:val="Normal"/>
        <w:ind w:left="240" w:right="0" w:firstLine="240"/>
        <w:rPr/>
      </w:pPr>
      <w:r>
        <w:rPr/>
        <w:t>以上數據可做為後續調整程式之用。</w:t>
      </w:r>
    </w:p>
    <w:p>
      <w:pPr>
        <w:pStyle w:val="Normal"/>
        <w:ind w:left="240" w:right="0" w:firstLine="240"/>
        <w:rPr/>
      </w:pPr>
      <w:r>
        <w:rPr/>
      </w:r>
    </w:p>
    <w:p>
      <w:pPr>
        <w:pStyle w:val="Style21"/>
        <w:rPr/>
      </w:pPr>
      <w:r>
        <w:rPr/>
        <w:t>二、簡單循線</w:t>
      </w:r>
    </w:p>
    <w:p>
      <w:pPr>
        <w:pStyle w:val="Style21"/>
        <w:rPr/>
      </w:pPr>
      <w:r>
        <w:rPr/>
        <w:tab/>
      </w:r>
      <w:r>
        <w:rPr>
          <w:b w:val="false"/>
          <w:bCs w:val="false"/>
        </w:rPr>
        <w:t>在開始</w:t>
      </w:r>
      <w:r>
        <w:rPr>
          <w:b w:val="false"/>
          <w:bCs w:val="false"/>
        </w:rPr>
        <w:t>PID</w:t>
      </w:r>
      <w:r>
        <w:rPr>
          <w:b w:val="false"/>
          <w:bCs w:val="false"/>
        </w:rPr>
        <w:t>控制之前，為了測試感測器的性能以及找到轉彎合適的數值，我們先實做了簡單版循線功能。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程式的邏輯很簡單，先找出亮度中間值—也就是黑白交界處，如果大於（代表是黑線）就右轉，反之則左轉，如此一來車子將會沿著黑線的右邊走，並且自動修正位置。但假如只有這樣，車子會一直搖晃，而且前進速度很慢，因為並沒有時間是真正往前走的，因此我們設定一個</w:t>
      </w:r>
      <w:r>
        <w:rPr>
          <w:b w:val="false"/>
          <w:bCs w:val="false"/>
        </w:rPr>
        <w:t>range</w:t>
      </w:r>
      <w:r>
        <w:rPr>
          <w:b w:val="false"/>
          <w:bCs w:val="false"/>
        </w:rPr>
        <w:t>變數，只要亮度跟中間值的差在</w:t>
      </w:r>
      <w:r>
        <w:rPr>
          <w:b w:val="false"/>
          <w:bCs w:val="false"/>
        </w:rPr>
        <w:t>range</w:t>
      </w:r>
      <w:r>
        <w:rPr>
          <w:b w:val="false"/>
          <w:bCs w:val="false"/>
        </w:rPr>
        <w:t>之內，就設定馬達向前進。這樣子我們就完成了最簡易的循線功能。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目前的車子能夠走直線，和微小的轉彎，但如果轉彎幅度太大，車子就會出軌，而且在直線上會有很多不夠精確的修正，造成車子左右晃動。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在完成簡單循線之後，我們發現當車子早上在拿出來使用時，跑得結果卻不一樣了，經我們的推測，估計是早上有日照影響，造成感測器的數據整體偏低，才讓車子「走歪」了。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避免日夜差異，還有未來到不同測試環境的影響，我們改成讓車子自己「學習」黑白線的參數，我們定義最黑的為黑線，最白的為白線，如果遇到比目前的值更極端的，就複寫目前的值。完成更改後，車子也能在很快的時間內就適應，並且正常的循線，但是如果中途將車子抬起，車子將會讀到非常大的值，因此將車體放回跑道上後，將無法正常的循線。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1512570</wp:posOffset>
            </wp:positionH>
            <wp:positionV relativeFrom="paragraph">
              <wp:posOffset>217170</wp:posOffset>
            </wp:positionV>
            <wp:extent cx="3352800" cy="5928360"/>
            <wp:effectExtent l="0" t="0" r="0" b="0"/>
            <wp:wrapTopAndBottom/>
            <wp:docPr id="6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二、</w:t>
      </w:r>
      <w:r>
        <w:rPr/>
        <w:t>PID</w:t>
      </w:r>
      <w:r>
        <w:rPr>
          <w:rFonts w:cs="Arial" w:ascii="Arial" w:hAnsi="Arial"/>
          <w:highlight w:val="white"/>
        </w:rPr>
        <w:t>──P</w:t>
      </w:r>
      <w:r>
        <w:rPr>
          <w:rFonts w:ascii="Arial" w:hAnsi="Arial" w:cs="Arial"/>
          <w:highlight w:val="white"/>
        </w:rPr>
        <w:t>控制</w:t>
      </w:r>
    </w:p>
    <w:p>
      <w:pPr>
        <w:pStyle w:val="Style21"/>
        <w:rPr>
          <w:rFonts w:ascii="Arial" w:hAnsi="Arial" w:cs="Arial"/>
          <w:b w:val="false"/>
          <w:b w:val="false"/>
          <w:bCs w:val="false"/>
          <w:highlight w:val="white"/>
        </w:rPr>
      </w:pPr>
      <w:r>
        <w:rPr>
          <w:rFonts w:cs="Arial" w:ascii="Arial" w:hAnsi="Arial"/>
          <w:highlight w:val="white"/>
        </w:rPr>
        <w:tab/>
      </w:r>
      <w:r>
        <w:rPr>
          <w:rFonts w:cs="Arial" w:ascii="Arial" w:hAnsi="Arial"/>
          <w:b w:val="false"/>
          <w:bCs w:val="false"/>
          <w:highlight w:val="white"/>
        </w:rPr>
        <w:t xml:space="preserve">p </w:t>
      </w:r>
      <w:r>
        <w:rPr>
          <w:rFonts w:ascii="Arial" w:hAnsi="Arial" w:cs="Arial"/>
          <w:b w:val="false"/>
          <w:bCs w:val="false"/>
          <w:highlight w:val="white"/>
        </w:rPr>
        <w:t>為比例，將讀到的</w:t>
      </w:r>
      <w:r>
        <w:rPr>
          <w:rFonts w:cs="Arial" w:ascii="Arial" w:hAnsi="Arial"/>
          <w:b w:val="false"/>
          <w:bCs w:val="false"/>
          <w:highlight w:val="white"/>
        </w:rPr>
        <w:t>error</w:t>
      </w:r>
      <w:r>
        <w:rPr>
          <w:rFonts w:ascii="Arial" w:hAnsi="Arial" w:cs="Arial"/>
          <w:b w:val="false"/>
          <w:bCs w:val="false"/>
          <w:highlight w:val="white"/>
        </w:rPr>
        <w:t>值透過一個比例反應到馬達上，使得「偏離越多，修正越多」。</w:t>
      </w:r>
      <w:r>
        <w:rPr>
          <w:rFonts w:cs="Arial" w:ascii="Arial" w:hAnsi="Arial"/>
          <w:b w:val="false"/>
          <w:bCs w:val="false"/>
          <w:highlight w:val="white"/>
        </w:rPr>
        <w:t>Kp</w:t>
      </w:r>
      <w:r>
        <w:rPr>
          <w:rFonts w:ascii="Arial" w:hAnsi="Arial" w:cs="Arial"/>
          <w:b w:val="false"/>
          <w:bCs w:val="false"/>
          <w:highlight w:val="white"/>
        </w:rPr>
        <w:t>值需要手動調整。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1127760"/>
            <wp:effectExtent l="0" t="0" r="0" b="0"/>
            <wp:wrapTopAndBottom/>
            <wp:docPr id="7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在原先的設定下，</w:t>
      </w:r>
      <w:r>
        <w:rPr/>
        <w:t>Kp</w:t>
      </w:r>
      <w:r>
        <w:rPr/>
        <w:t>名稱叫做</w:t>
      </w:r>
      <w:r>
        <w:rPr/>
        <w:t xml:space="preserve">MT </w:t>
      </w:r>
      <w:r>
        <w:rPr/>
        <w:t>（</w:t>
      </w:r>
      <w:r>
        <w:rPr/>
        <w:t>M</w:t>
      </w:r>
      <w:r>
        <w:rPr/>
        <w:t>為質量，</w:t>
      </w:r>
      <w:r>
        <w:rPr/>
        <w:t>T</w:t>
      </w:r>
      <w:r>
        <w:rPr/>
        <w:t>為轉向，轉向的質量之意），後來為了方便分辨就改名為與</w:t>
      </w:r>
      <w:r>
        <w:rPr/>
        <w:t xml:space="preserve">PID </w:t>
      </w:r>
      <w:r>
        <w:rPr/>
        <w:t>相稱的</w:t>
      </w:r>
      <w:r>
        <w:rPr/>
        <w:t>Kp</w:t>
      </w:r>
      <w:r>
        <w:rPr/>
        <w:t>，避免讀者誤會。</w:t>
      </w:r>
    </w:p>
    <w:p>
      <w:pPr>
        <w:pStyle w:val="Normal"/>
        <w:rPr/>
      </w:pPr>
      <w:r>
        <w:rPr/>
        <w:tab/>
      </w:r>
      <w:r>
        <w:rPr/>
        <w:t>在做簡單循線之前，我們就已經嘗試直接製作</w:t>
      </w:r>
      <w:r>
        <w:rPr/>
        <w:t>P</w:t>
      </w:r>
      <w:r>
        <w:rPr/>
        <w:t>控制，但是由於對參數範圍沒有概念，車子讀取後修正太多，沒辦法維持在跑道上，為了解決這個問題，我們先實做了簡單循線，透過此抓出轉彎合適的範圍，再由此範圍去反推合適的</w:t>
      </w:r>
      <w:r>
        <w:rPr/>
        <w:t>Kp</w:t>
      </w:r>
      <w:r>
        <w:rPr/>
        <w:t>值。</w:t>
      </w:r>
    </w:p>
    <w:p>
      <w:pPr>
        <w:pStyle w:val="Normal"/>
        <w:rPr/>
      </w:pPr>
      <w:r>
        <w:rPr/>
        <w:tab/>
      </w:r>
      <w:r>
        <w:rPr/>
        <w:t>在此之前，為了確保用來運算的亮度值有固定的範圍，我們進行「標準化」的工程。將最高值</w:t>
      </w:r>
      <w:r>
        <w:rPr/>
        <w:t>H</w:t>
      </w:r>
      <w:r>
        <w:rPr/>
        <w:t>到最小值</w:t>
      </w:r>
      <w:r>
        <w:rPr/>
        <w:t>L</w:t>
      </w:r>
      <w:r>
        <w:rPr/>
        <w:t>間切成</w:t>
      </w:r>
      <w:r>
        <w:rPr/>
        <w:t>200</w:t>
      </w:r>
      <w:r>
        <w:rPr/>
        <w:t>等分，並且減去中間值，即會得到介於</w:t>
      </w:r>
      <w:r>
        <w:rPr/>
        <w:t>±100</w:t>
      </w:r>
      <w:r>
        <w:rPr/>
        <w:t>內的感測數值，其計算如下。</w:t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（放算式）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固定了感測值範圍後，我們藉由簡單循線的數值去反推合適的</w:t>
      </w:r>
      <w:r>
        <w:rPr>
          <w:b w:val="false"/>
          <w:bCs w:val="false"/>
          <w:i w:val="false"/>
          <w:iCs w:val="false"/>
        </w:rPr>
        <w:t>Kp</w:t>
      </w:r>
      <w:r>
        <w:rPr>
          <w:b w:val="false"/>
          <w:bCs w:val="false"/>
          <w:i w:val="false"/>
          <w:iCs w:val="false"/>
        </w:rPr>
        <w:t>值，如同前面程式碼所寫，轉彎的數值為</w:t>
      </w:r>
      <w:r>
        <w:rPr>
          <w:b w:val="false"/>
          <w:bCs w:val="false"/>
          <w:i w:val="false"/>
          <w:iCs w:val="false"/>
        </w:rPr>
        <w:t>80</w:t>
      </w:r>
      <w:r>
        <w:rPr>
          <w:b w:val="false"/>
          <w:bCs w:val="false"/>
          <w:i w:val="false"/>
          <w:iCs w:val="false"/>
        </w:rPr>
        <w:t>和</w:t>
      </w:r>
      <w:r>
        <w:rPr>
          <w:b w:val="false"/>
          <w:bCs w:val="false"/>
          <w:i w:val="false"/>
          <w:iCs w:val="false"/>
        </w:rPr>
        <w:t>0</w:t>
      </w:r>
      <w:r>
        <w:rPr>
          <w:b w:val="false"/>
          <w:bCs w:val="false"/>
          <w:i w:val="false"/>
          <w:iCs w:val="false"/>
        </w:rPr>
        <w:t>，由於馬達轉速是由</w:t>
      </w:r>
      <w:r>
        <w:rPr>
          <w:b w:val="false"/>
          <w:bCs w:val="false"/>
          <w:i w:val="false"/>
          <w:iCs w:val="false"/>
        </w:rPr>
        <w:t>SPEED±turn</w:t>
      </w:r>
      <w:r>
        <w:rPr>
          <w:b w:val="false"/>
          <w:bCs w:val="false"/>
          <w:i w:val="false"/>
          <w:iCs w:val="false"/>
        </w:rPr>
        <w:t>得出，所以</w:t>
      </w:r>
      <w:r>
        <w:rPr>
          <w:b w:val="false"/>
          <w:bCs w:val="false"/>
          <w:i w:val="false"/>
          <w:iCs w:val="false"/>
        </w:rPr>
        <w:t>SPEED</w:t>
      </w:r>
      <w:r>
        <w:rPr>
          <w:b w:val="false"/>
          <w:bCs w:val="false"/>
          <w:i w:val="false"/>
          <w:iCs w:val="false"/>
        </w:rPr>
        <w:t>值就是（</w:t>
      </w:r>
      <w:r>
        <w:rPr>
          <w:b w:val="false"/>
          <w:bCs w:val="false"/>
          <w:i w:val="false"/>
          <w:iCs w:val="false"/>
        </w:rPr>
        <w:t>80 + 0) /2 = 40</w:t>
      </w:r>
      <w:r>
        <w:rPr>
          <w:b w:val="false"/>
          <w:bCs w:val="false"/>
          <w:i w:val="false"/>
          <w:iCs w:val="false"/>
        </w:rPr>
        <w:t>，為避免太慢造成馬達停擺我們增加</w:t>
      </w:r>
      <w:r>
        <w:rPr>
          <w:b w:val="false"/>
          <w:bCs w:val="false"/>
          <w:i w:val="false"/>
          <w:iCs w:val="false"/>
        </w:rPr>
        <w:t>10</w:t>
      </w:r>
      <w:r>
        <w:rPr>
          <w:b w:val="false"/>
          <w:bCs w:val="false"/>
          <w:i w:val="false"/>
          <w:iCs w:val="false"/>
        </w:rPr>
        <w:t>變</w:t>
      </w:r>
      <w:r>
        <w:rPr>
          <w:b w:val="false"/>
          <w:bCs w:val="false"/>
          <w:i w:val="false"/>
          <w:iCs w:val="false"/>
        </w:rPr>
        <w:t>50</w:t>
      </w:r>
      <w:r>
        <w:rPr>
          <w:b w:val="false"/>
          <w:bCs w:val="false"/>
          <w:i w:val="false"/>
          <w:iCs w:val="false"/>
        </w:rPr>
        <w:t>，而</w:t>
      </w:r>
      <w:r>
        <w:rPr>
          <w:b w:val="false"/>
          <w:bCs w:val="false"/>
          <w:i w:val="false"/>
          <w:iCs w:val="false"/>
        </w:rPr>
        <w:t>Kp</w:t>
      </w:r>
      <w:r>
        <w:rPr>
          <w:b w:val="false"/>
          <w:bCs w:val="false"/>
          <w:i w:val="false"/>
          <w:iCs w:val="false"/>
        </w:rPr>
        <w:t xml:space="preserve">就是 馬達範圍除上感測值範圍 </w:t>
      </w:r>
      <w:r>
        <w:rPr>
          <w:b w:val="false"/>
          <w:bCs w:val="false"/>
          <w:i w:val="false"/>
          <w:iCs w:val="false"/>
        </w:rPr>
        <w:t>= (80 – 0) / 200 = 0.4</w:t>
      </w:r>
      <w:r>
        <w:rPr>
          <w:b w:val="false"/>
          <w:bCs w:val="false"/>
          <w:i w:val="false"/>
          <w:iCs w:val="false"/>
        </w:rPr>
        <w:t>，因此我們將</w:t>
      </w:r>
      <w:r>
        <w:rPr>
          <w:b w:val="false"/>
          <w:bCs w:val="false"/>
          <w:i w:val="false"/>
          <w:iCs w:val="false"/>
        </w:rPr>
        <w:t>0.4</w:t>
      </w:r>
      <w:r>
        <w:rPr>
          <w:b w:val="false"/>
          <w:bCs w:val="false"/>
          <w:i w:val="false"/>
          <w:iCs w:val="false"/>
        </w:rPr>
        <w:t>定為</w:t>
      </w:r>
      <w:r>
        <w:rPr>
          <w:b w:val="false"/>
          <w:bCs w:val="false"/>
          <w:i w:val="false"/>
          <w:iCs w:val="false"/>
        </w:rPr>
        <w:t>Kp</w:t>
      </w:r>
      <w:r>
        <w:rPr>
          <w:b w:val="false"/>
          <w:bCs w:val="false"/>
          <w:i w:val="false"/>
          <w:iCs w:val="false"/>
        </w:rPr>
        <w:t>值。</w:t>
      </w:r>
    </w:p>
    <w:p>
      <w:pPr>
        <w:pStyle w:val="Style21"/>
        <w:rPr/>
      </w:pPr>
      <w:r>
        <w:rPr/>
        <w:t>三、</w:t>
      </w:r>
      <w:r>
        <w:rPr/>
        <w:t>PID──I</w:t>
      </w:r>
      <w:r>
        <w:rPr/>
        <w:t>控制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 </w:t>
      </w:r>
      <w:r>
        <w:rPr>
          <w:b w:val="false"/>
          <w:bCs w:val="false"/>
        </w:rPr>
        <w:t>為積分，記憶過去的偏移量，於下一次修正。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宣告</w:t>
      </w:r>
      <w:r>
        <w:rPr>
          <w:b w:val="false"/>
          <w:bCs w:val="false"/>
        </w:rPr>
        <w:t>Integral</w:t>
      </w:r>
      <w:r>
        <w:rPr>
          <w:b w:val="false"/>
          <w:bCs w:val="false"/>
        </w:rPr>
        <w:t>變數，儲存每一次的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量，為了避免被太久以前的數值影響，每次加入時先乘上</w:t>
      </w:r>
      <w:r>
        <w:rPr>
          <w:b w:val="false"/>
          <w:bCs w:val="false"/>
        </w:rPr>
        <w:t>3/4</w:t>
      </w:r>
      <w:r>
        <w:rPr>
          <w:b w:val="false"/>
          <w:bCs w:val="false"/>
        </w:rPr>
        <w:t>。在</w:t>
      </w:r>
      <w:r>
        <w:rPr>
          <w:b w:val="false"/>
          <w:bCs w:val="false"/>
        </w:rPr>
        <w:t>turn</w:t>
      </w:r>
      <w:r>
        <w:rPr>
          <w:b w:val="false"/>
          <w:bCs w:val="false"/>
        </w:rPr>
        <w:t>值加入</w:t>
      </w:r>
      <w:r>
        <w:rPr>
          <w:b w:val="false"/>
          <w:bCs w:val="false"/>
        </w:rPr>
        <w:t>Ki</w:t>
      </w:r>
      <w:r>
        <w:rPr>
          <w:b w:val="false"/>
          <w:bCs w:val="false"/>
        </w:rPr>
        <w:t>乘上</w:t>
      </w:r>
      <w:r>
        <w:rPr>
          <w:b w:val="false"/>
          <w:bCs w:val="false"/>
        </w:rPr>
        <w:t>Integral</w:t>
      </w:r>
      <w:r>
        <w:rPr>
          <w:b w:val="false"/>
          <w:bCs w:val="false"/>
        </w:rPr>
        <w:t>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效果：在較大的轉彎時，由於一直保持是偏移的狀態，</w:t>
      </w:r>
      <w:r>
        <w:rPr>
          <w:b w:val="false"/>
          <w:bCs w:val="false"/>
        </w:rPr>
        <w:t>Integral</w:t>
      </w:r>
      <w:r>
        <w:rPr>
          <w:b w:val="false"/>
          <w:bCs w:val="false"/>
        </w:rPr>
        <w:t>值將會變得巨大，讓車子修正更多以成功過彎。但如果</w:t>
      </w:r>
      <w:r>
        <w:rPr>
          <w:b w:val="false"/>
          <w:bCs w:val="false"/>
        </w:rPr>
        <w:t>Ki</w:t>
      </w:r>
      <w:r>
        <w:rPr>
          <w:b w:val="false"/>
          <w:bCs w:val="false"/>
        </w:rPr>
        <w:t>設的太大，在直線時車體會抖動（過度修正），所以大約取跟</w:t>
      </w:r>
      <w:r>
        <w:rPr>
          <w:b w:val="false"/>
          <w:bCs w:val="false"/>
        </w:rPr>
        <w:t>Kp</w:t>
      </w:r>
      <w:r>
        <w:rPr>
          <w:b w:val="false"/>
          <w:bCs w:val="false"/>
        </w:rPr>
        <w:t>差不多就好。</w:t>
      </w:r>
    </w:p>
    <w:p>
      <w:pPr>
        <w:pStyle w:val="Style21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8600" cy="3482340"/>
            <wp:effectExtent l="0" t="0" r="0" b="0"/>
            <wp:wrapTopAndBottom/>
            <wp:docPr id="8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四、</w:t>
      </w:r>
      <w:r>
        <w:rPr/>
        <w:t>PID──D</w:t>
      </w:r>
      <w:r>
        <w:rPr/>
        <w:t>控制</w:t>
      </w:r>
    </w:p>
    <w:p>
      <w:pPr>
        <w:pStyle w:val="Style21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2682240"/>
            <wp:effectExtent l="0" t="0" r="0" b="0"/>
            <wp:wrapTopAndBottom/>
            <wp:docPr id="9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Style21"/>
        <w:rPr/>
      </w:pPr>
      <w:r>
        <w:rPr/>
        <w:t>五、</w:t>
      </w:r>
      <w:r>
        <w:rPr/>
        <w:t>PID</w:t>
      </w:r>
      <w:r>
        <w:rPr/>
        <w:t>與數位感應車循線效果比較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1"/>
        <w:keepNext/>
        <w:ind w:left="0" w:right="0" w:firstLine="482"/>
        <w:jc w:val="left"/>
        <w:rPr/>
      </w:pPr>
      <w:r>
        <w:rPr/>
        <w:t>伍、研究結果</w:t>
      </w:r>
    </w:p>
    <w:p>
      <w:pPr>
        <w:pStyle w:val="Normal"/>
        <w:rPr/>
      </w:pPr>
      <w:r>
        <w:rPr/>
        <w:t>順序：一、（一）、</w:t>
      </w:r>
      <w:r>
        <w:rPr/>
        <w:t>1</w:t>
      </w:r>
      <w:r>
        <w:rPr/>
        <w:t>、（</w:t>
      </w:r>
      <w:r>
        <w:rPr/>
        <w:t>1</w:t>
      </w:r>
      <w:r>
        <w:rPr/>
        <w:t>）</w:t>
      </w:r>
    </w:p>
    <w:p>
      <w:pPr>
        <w:pStyle w:val="1"/>
        <w:keepNext/>
        <w:ind w:left="480" w:right="0" w:hanging="0"/>
        <w:jc w:val="left"/>
        <w:rPr/>
      </w:pPr>
      <w:r>
        <w:rPr/>
        <w:t>陸、討論</w:t>
      </w:r>
    </w:p>
    <w:p>
      <w:pPr>
        <w:pStyle w:val="Normal"/>
        <w:rPr/>
      </w:pPr>
      <w:r>
        <w:rPr/>
      </w:r>
    </w:p>
    <w:p>
      <w:pPr>
        <w:pStyle w:val="1"/>
        <w:keepNext/>
        <w:ind w:left="480" w:right="0" w:hanging="0"/>
        <w:jc w:val="left"/>
        <w:rPr/>
      </w:pPr>
      <w:r>
        <w:rPr/>
        <w:t>柒、結論</w:t>
      </w:r>
    </w:p>
    <w:p>
      <w:pPr>
        <w:pStyle w:val="Normal"/>
        <w:rPr>
          <w:rFonts w:ascii="Cambria" w:hAnsi="Cambria" w:eastAsia="新細明體"/>
          <w:b/>
          <w:b/>
          <w:bCs/>
          <w:sz w:val="32"/>
          <w:szCs w:val="32"/>
        </w:rPr>
      </w:pPr>
      <w:r>
        <w:rPr>
          <w:rFonts w:eastAsia="新細明體" w:ascii="Cambria" w:hAnsi="Cambria"/>
          <w:b/>
          <w:bCs/>
          <w:sz w:val="32"/>
          <w:szCs w:val="32"/>
        </w:rPr>
      </w:r>
    </w:p>
    <w:p>
      <w:pPr>
        <w:pStyle w:val="1"/>
        <w:keepNext/>
        <w:ind w:left="480" w:right="0" w:hanging="0"/>
        <w:jc w:val="left"/>
        <w:rPr/>
      </w:pPr>
      <w:r>
        <w:rPr/>
        <w:t>捌、參考資料及其他</w:t>
      </w:r>
    </w:p>
    <w:p>
      <w:pPr>
        <w:pStyle w:val="Normal"/>
        <w:rPr/>
      </w:pPr>
      <w:r>
        <w:rPr/>
        <w:t>一、</w:t>
      </w:r>
      <w:r>
        <w:rPr/>
        <w:t xml:space="preserve">A PID Controller For Lego Mindstorms Robots </w:t>
      </w:r>
      <w:hyperlink r:id="rId15">
        <w:r>
          <w:rPr>
            <w:rStyle w:val="Style13"/>
          </w:rPr>
          <w:t>http://www.inpharmix.com/jps/PID_Controller_For_Lego_Mindstorms_Robots.html</w:t>
        </w:r>
      </w:hyperlink>
    </w:p>
    <w:p>
      <w:pPr>
        <w:pStyle w:val="Normal"/>
        <w:rPr/>
      </w:pPr>
      <w:r>
        <w:rPr/>
        <w:t>二、直流馬達定位控制</w:t>
      </w:r>
      <w:r>
        <w:rPr/>
        <w:t>-</w:t>
      </w:r>
      <w:r>
        <w:rPr/>
        <w:t xml:space="preserve">最佳 </w:t>
      </w:r>
      <w:r>
        <w:rPr/>
        <w:t xml:space="preserve">PID </w:t>
      </w:r>
      <w:r>
        <w:rPr/>
        <w:t>控制器之設計</w:t>
      </w:r>
    </w:p>
    <w:p>
      <w:pPr>
        <w:pStyle w:val="Normal"/>
        <w:rPr/>
      </w:pPr>
      <w:hyperlink r:id="rId16">
        <w:r>
          <w:rPr>
            <w:rStyle w:val="Style13"/>
          </w:rPr>
          <w:t>http://ir.lib.ntust.edu.tw/retrieve/50876/Optimal+PID+Controller+Design+for+DC+Motor+Positioning+Control.pdf</w:t>
        </w:r>
      </w:hyperlink>
    </w:p>
    <w:p>
      <w:pPr>
        <w:pStyle w:val="Normal"/>
        <w:rPr/>
      </w:pPr>
      <w:r>
        <w:rPr/>
        <w:t>三、</w:t>
      </w:r>
      <w:r>
        <w:rPr/>
        <w:t>HOW TO USE IR SENSOR USING OP AMP AND ARDUINO</w:t>
      </w:r>
    </w:p>
    <w:p>
      <w:pPr>
        <w:pStyle w:val="Normal"/>
        <w:rPr/>
      </w:pPr>
      <w:r>
        <w:rPr>
          <w:color w:val="0000FF"/>
          <w:u w:val="single"/>
        </w:rPr>
        <w:t>http://www.instructables.com/id/How-to-use-IR-Sensor-using-Op-amp-and-Arduino/</w:t>
      </w:r>
    </w:p>
    <w:sectPr>
      <w:footerReference w:type="default" r:id="rId17"/>
      <w:type w:val="nextPage"/>
      <w:pgSz w:w="11906" w:h="16838"/>
      <w:pgMar w:left="1134" w:right="1134" w:header="0" w:top="1134" w:footer="992" w:bottom="1134" w:gutter="0"/>
      <w:pgNumType w:fmt="decimal"/>
      <w:formProt w:val="false"/>
      <w:titlePg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  <w:font w:name="新細明體">
    <w:charset w:val="01"/>
    <w:family w:val="roman"/>
    <w:pitch w:val="variable"/>
  </w:font>
  <w:font w:name="Cambria Math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ftr>
</file>

<file path=word/settings.xml><?xml version="1.0" encoding="utf-8"?>
<w:settings xmlns:w="http://schemas.openxmlformats.org/wordprocessingml/2006/main">
  <w:zoom w:percent="95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sz w:val="20"/>
        <w:szCs w:val="22"/>
        <w:lang w:val="en-US" w:eastAsia="zh-TW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libri" w:hAnsi="Calibri" w:eastAsia="新細明體" w:cs="Times New Roman"/>
      <w:color w:val="00000A"/>
      <w:sz w:val="24"/>
      <w:szCs w:val="24"/>
      <w:lang w:val="en-US" w:eastAsia="zh-TW" w:bidi="ar-SA"/>
    </w:rPr>
  </w:style>
  <w:style w:type="paragraph" w:styleId="1">
    <w:name w:val="Heading 1"/>
    <w:basedOn w:val="Normal"/>
    <w:qFormat/>
    <w:pPr>
      <w:keepNext/>
      <w:spacing w:before="240" w:after="60"/>
      <w:jc w:val="center"/>
      <w:outlineLvl w:val="0"/>
    </w:pPr>
    <w:rPr>
      <w:rFonts w:ascii="Cambria" w:hAnsi="Cambria" w:eastAsia="新細明體" w:cs="Times New Roman"/>
      <w:b/>
      <w:bCs/>
      <w:sz w:val="32"/>
      <w:szCs w:val="32"/>
    </w:rPr>
  </w:style>
  <w:style w:type="paragraph" w:styleId="2">
    <w:name w:val="Heading 2"/>
    <w:basedOn w:val="Normal"/>
    <w:qFormat/>
    <w:pPr>
      <w:keepNext/>
      <w:spacing w:before="240" w:after="60"/>
      <w:outlineLvl w:val="1"/>
    </w:pPr>
    <w:rPr>
      <w:rFonts w:ascii="Cambria" w:hAnsi="Cambria" w:eastAsia="新細明體" w:cs="Times New Roman"/>
      <w:b/>
      <w:bCs/>
      <w:i/>
      <w:iCs/>
      <w:sz w:val="28"/>
      <w:szCs w:val="28"/>
    </w:rPr>
  </w:style>
  <w:style w:type="paragraph" w:styleId="3">
    <w:name w:val="Heading 3"/>
    <w:basedOn w:val="Normal"/>
    <w:qFormat/>
    <w:pPr>
      <w:keepNext/>
      <w:spacing w:before="240" w:after="60"/>
      <w:outlineLvl w:val="2"/>
    </w:pPr>
    <w:rPr>
      <w:rFonts w:ascii="Cambria" w:hAnsi="Cambria" w:eastAsia="新細明體" w:cs="Times New Roman"/>
      <w:b/>
      <w:bCs/>
      <w:sz w:val="26"/>
      <w:szCs w:val="26"/>
    </w:rPr>
  </w:style>
  <w:style w:type="paragraph" w:styleId="4">
    <w:name w:val="Heading 4"/>
    <w:basedOn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Normal"/>
    <w:qFormat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Normal"/>
    <w:qFormat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Normal"/>
    <w:qFormat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Normal"/>
    <w:qFormat/>
    <w:pPr>
      <w:spacing w:before="240" w:after="60"/>
      <w:outlineLvl w:val="8"/>
    </w:pPr>
    <w:rPr>
      <w:rFonts w:ascii="Cambria" w:hAnsi="Cambria" w:eastAsia="新細明體" w:cs="Times New Roman"/>
      <w:sz w:val="22"/>
      <w:szCs w:val="22"/>
    </w:rPr>
  </w:style>
  <w:style w:type="character" w:styleId="DefaultParagraphFont">
    <w:name w:val="Default Paragraph Font"/>
    <w:qFormat/>
    <w:rPr/>
  </w:style>
  <w:style w:type="character" w:styleId="11">
    <w:name w:val="標題 1 字元"/>
    <w:basedOn w:val="DefaultParagraphFont"/>
    <w:qFormat/>
    <w:rPr>
      <w:rFonts w:ascii="Cambria" w:hAnsi="Cambria" w:eastAsia="新細明體" w:cs="Times New Roman"/>
      <w:b/>
      <w:bCs/>
      <w:sz w:val="32"/>
      <w:szCs w:val="32"/>
    </w:rPr>
  </w:style>
  <w:style w:type="character" w:styleId="21">
    <w:name w:val="標題 2 字元"/>
    <w:basedOn w:val="DefaultParagraphFont"/>
    <w:qFormat/>
    <w:rPr>
      <w:rFonts w:ascii="Cambria" w:hAnsi="Cambria" w:eastAsia="新細明體" w:cs="Times New Roman"/>
      <w:b/>
      <w:bCs/>
      <w:i/>
      <w:iCs/>
      <w:sz w:val="28"/>
      <w:szCs w:val="28"/>
    </w:rPr>
  </w:style>
  <w:style w:type="character" w:styleId="31">
    <w:name w:val="標題 3 字元"/>
    <w:basedOn w:val="DefaultParagraphFont"/>
    <w:qFormat/>
    <w:rPr>
      <w:rFonts w:ascii="Cambria" w:hAnsi="Cambria" w:eastAsia="新細明體" w:cs="Times New Roman"/>
      <w:b/>
      <w:bCs/>
      <w:sz w:val="26"/>
      <w:szCs w:val="26"/>
    </w:rPr>
  </w:style>
  <w:style w:type="character" w:styleId="41">
    <w:name w:val="標題 4 字元"/>
    <w:basedOn w:val="DefaultParagraphFont"/>
    <w:qFormat/>
    <w:rPr>
      <w:rFonts w:cs="Times New Roman"/>
      <w:b/>
      <w:bCs/>
      <w:sz w:val="28"/>
      <w:szCs w:val="28"/>
    </w:rPr>
  </w:style>
  <w:style w:type="character" w:styleId="51">
    <w:name w:val="標題 5 字元"/>
    <w:basedOn w:val="DefaultParagraphFont"/>
    <w:qFormat/>
    <w:rPr>
      <w:rFonts w:cs="Times New Roman"/>
      <w:b/>
      <w:bCs/>
      <w:i/>
      <w:iCs/>
      <w:sz w:val="26"/>
      <w:szCs w:val="26"/>
    </w:rPr>
  </w:style>
  <w:style w:type="character" w:styleId="61">
    <w:name w:val="標題 6 字元"/>
    <w:basedOn w:val="DefaultParagraphFont"/>
    <w:qFormat/>
    <w:rPr>
      <w:rFonts w:cs="Times New Roman"/>
      <w:b/>
      <w:bCs/>
    </w:rPr>
  </w:style>
  <w:style w:type="character" w:styleId="71">
    <w:name w:val="標題 7 字元"/>
    <w:basedOn w:val="DefaultParagraphFont"/>
    <w:qFormat/>
    <w:rPr>
      <w:rFonts w:cs="Times New Roman"/>
      <w:sz w:val="24"/>
      <w:szCs w:val="24"/>
    </w:rPr>
  </w:style>
  <w:style w:type="character" w:styleId="81">
    <w:name w:val="標題 8 字元"/>
    <w:basedOn w:val="DefaultParagraphFont"/>
    <w:qFormat/>
    <w:rPr>
      <w:rFonts w:cs="Times New Roman"/>
      <w:i/>
      <w:iCs/>
      <w:sz w:val="24"/>
      <w:szCs w:val="24"/>
    </w:rPr>
  </w:style>
  <w:style w:type="character" w:styleId="91">
    <w:name w:val="標題 9 字元"/>
    <w:basedOn w:val="DefaultParagraphFont"/>
    <w:qFormat/>
    <w:rPr>
      <w:rFonts w:ascii="Cambria" w:hAnsi="Cambria" w:eastAsia="新細明體" w:cs="Times New Roman"/>
    </w:rPr>
  </w:style>
  <w:style w:type="character" w:styleId="Style5">
    <w:name w:val="標題 字元"/>
    <w:basedOn w:val="DefaultParagraphFont"/>
    <w:qFormat/>
    <w:rPr>
      <w:rFonts w:ascii="Cambria" w:hAnsi="Cambria" w:eastAsia="新細明體" w:cs="Times New Roman"/>
      <w:b/>
      <w:bCs/>
      <w:sz w:val="32"/>
      <w:szCs w:val="32"/>
    </w:rPr>
  </w:style>
  <w:style w:type="character" w:styleId="Style6">
    <w:name w:val="副標題 字元"/>
    <w:basedOn w:val="DefaultParagraphFont"/>
    <w:qFormat/>
    <w:rPr>
      <w:b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7">
    <w:name w:val="強調"/>
    <w:basedOn w:val="DefaultParagraphFont"/>
    <w:qFormat/>
    <w:rPr>
      <w:rFonts w:ascii="Calibri" w:hAnsi="Calibri"/>
      <w:b/>
      <w:i/>
      <w:iCs/>
    </w:rPr>
  </w:style>
  <w:style w:type="character" w:styleId="Style8">
    <w:name w:val="引文 字元"/>
    <w:basedOn w:val="DefaultParagraphFont"/>
    <w:qFormat/>
    <w:rPr>
      <w:rFonts w:cs="Times New Roman"/>
      <w:i/>
      <w:sz w:val="24"/>
      <w:szCs w:val="24"/>
    </w:rPr>
  </w:style>
  <w:style w:type="character" w:styleId="Style9">
    <w:name w:val="鮮明引文 字元"/>
    <w:basedOn w:val="DefaultParagraphFont"/>
    <w:qFormat/>
    <w:rPr>
      <w:rFonts w:cs="Times New Roman"/>
      <w:b/>
      <w:i/>
      <w:sz w:val="24"/>
    </w:rPr>
  </w:style>
  <w:style w:type="character" w:styleId="SubtleEmphasis">
    <w:name w:val="Subtle Emphasis"/>
    <w:qFormat/>
    <w:rPr>
      <w:i/>
      <w:color w:val="5A5A5A"/>
    </w:rPr>
  </w:style>
  <w:style w:type="character" w:styleId="IntenseEmphasis">
    <w:name w:val="Intense Emphasis"/>
    <w:basedOn w:val="DefaultParagraphFont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qFormat/>
    <w:rPr>
      <w:b/>
      <w:sz w:val="24"/>
      <w:u w:val="single"/>
    </w:rPr>
  </w:style>
  <w:style w:type="character" w:styleId="BookTitle">
    <w:name w:val="Book Title"/>
    <w:basedOn w:val="DefaultParagraphFont"/>
    <w:qFormat/>
    <w:rPr>
      <w:rFonts w:ascii="Cambria" w:hAnsi="Cambria" w:eastAsia="新細明體"/>
      <w:b/>
      <w:i/>
      <w:sz w:val="24"/>
      <w:szCs w:val="24"/>
    </w:rPr>
  </w:style>
  <w:style w:type="character" w:styleId="Style10">
    <w:name w:val="無間距 字元"/>
    <w:basedOn w:val="DefaultParagraphFont"/>
    <w:qFormat/>
    <w:rPr>
      <w:sz w:val="24"/>
      <w:szCs w:val="32"/>
    </w:rPr>
  </w:style>
  <w:style w:type="character" w:styleId="Style11">
    <w:name w:val="頁首 字元"/>
    <w:basedOn w:val="DefaultParagraphFont"/>
    <w:qFormat/>
    <w:rPr>
      <w:sz w:val="20"/>
      <w:szCs w:val="20"/>
    </w:rPr>
  </w:style>
  <w:style w:type="character" w:styleId="Style12">
    <w:name w:val="頁尾 字元"/>
    <w:basedOn w:val="DefaultParagraphFont"/>
    <w:qFormat/>
    <w:rPr>
      <w:sz w:val="20"/>
      <w:szCs w:val="20"/>
    </w:rPr>
  </w:style>
  <w:style w:type="character" w:styleId="Style13">
    <w:name w:val="網際網路連結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Style14">
    <w:name w:val="註解方塊文字 字元"/>
    <w:basedOn w:val="DefaultParagraphFont"/>
    <w:qFormat/>
    <w:rPr>
      <w:rFonts w:ascii="Cambria" w:hAnsi="Cambria" w:eastAsia="新細明體" w:cs="Times New Roman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Style15">
    <w:name w:val="標題"/>
    <w:basedOn w:val="Normal"/>
    <w:next w:val="Style16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Noto Sans CJK TC Regular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TC Regular"/>
    </w:rPr>
  </w:style>
  <w:style w:type="paragraph" w:styleId="NoSpacing">
    <w:name w:val="No Spacing"/>
    <w:basedOn w:val="Normal"/>
    <w:qFormat/>
    <w:pPr/>
    <w:rPr>
      <w:szCs w:val="32"/>
    </w:rPr>
  </w:style>
  <w:style w:type="paragraph" w:styleId="Style20">
    <w:name w:val="Title"/>
    <w:basedOn w:val="Normal"/>
    <w:qFormat/>
    <w:pPr>
      <w:spacing w:before="240" w:after="60"/>
      <w:jc w:val="center"/>
      <w:outlineLvl w:val="0"/>
    </w:pPr>
    <w:rPr>
      <w:rFonts w:ascii="Cambria" w:hAnsi="Cambria" w:eastAsia="新細明體" w:cs="Times New Roman"/>
      <w:b/>
      <w:bCs/>
      <w:sz w:val="32"/>
      <w:szCs w:val="32"/>
    </w:rPr>
  </w:style>
  <w:style w:type="paragraph" w:styleId="Style21">
    <w:name w:val="Subtitle"/>
    <w:basedOn w:val="Normal"/>
    <w:qFormat/>
    <w:pPr>
      <w:spacing w:lineRule="auto" w:line="360"/>
    </w:pPr>
    <w:rPr>
      <w:b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rFonts w:cs="Times New Roman"/>
      <w:i/>
    </w:rPr>
  </w:style>
  <w:style w:type="paragraph" w:styleId="IntenseQuote">
    <w:name w:val="Intense Quote"/>
    <w:basedOn w:val="Normal"/>
    <w:qFormat/>
    <w:pPr>
      <w:ind w:left="720" w:right="720" w:hanging="0"/>
    </w:pPr>
    <w:rPr>
      <w:rFonts w:cs="Times New Roman"/>
      <w:b/>
      <w:i/>
      <w:szCs w:val="22"/>
    </w:rPr>
  </w:style>
  <w:style w:type="paragraph" w:styleId="TOCHeading">
    <w:name w:val="TOC Heading"/>
    <w:basedOn w:val="1"/>
    <w:qFormat/>
    <w:pPr/>
    <w:rPr/>
  </w:style>
  <w:style w:type="paragraph" w:styleId="Caption">
    <w:name w:val="caption"/>
    <w:basedOn w:val="Normal"/>
    <w:qFormat/>
    <w:pPr/>
    <w:rPr>
      <w:b/>
      <w:bCs/>
      <w:sz w:val="18"/>
      <w:szCs w:val="18"/>
    </w:rPr>
  </w:style>
  <w:style w:type="paragraph" w:styleId="Style22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Cambria" w:hAnsi="Cambria" w:eastAsia="新細明體" w:cs="Times New Roman"/>
      <w:sz w:val="18"/>
      <w:szCs w:val="18"/>
    </w:rPr>
  </w:style>
  <w:style w:type="paragraph" w:styleId="Style24">
    <w:name w:val="表格內容"/>
    <w:basedOn w:val="Normal"/>
    <w:qFormat/>
    <w:pPr/>
    <w:rPr/>
  </w:style>
  <w:style w:type="paragraph" w:styleId="Style25">
    <w:name w:val="表格標題"/>
    <w:basedOn w:val="Style24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oleObject" Target="embeddings/oleObject1.bin"/><Relationship Id="rId7" Type="http://schemas.openxmlformats.org/officeDocument/2006/relationships/image" Target="media/image5.emf"/><Relationship Id="rId8" Type="http://schemas.openxmlformats.org/officeDocument/2006/relationships/oleObject" Target="embeddings/oleObject2.bin"/><Relationship Id="rId9" Type="http://schemas.openxmlformats.org/officeDocument/2006/relationships/image" Target="media/image6.emf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yperlink" Target="http://www.inpharmix.com/jps/PID_Controller_For_Lego_Mindstorms_Robots.html" TargetMode="External"/><Relationship Id="rId16" Type="http://schemas.openxmlformats.org/officeDocument/2006/relationships/hyperlink" Target="http://ir.lib.ntust.edu.tw/retrieve/50876/Optimal+PID+Controller+Design+for+DC+Motor+Positioning+Control.pdf" TargetMode="Externa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Application>LibreOffice/5.1.6.2$Linux_X86_64 LibreOffice_project/10m0$Build-2</Application>
  <Pages>13</Pages>
  <Words>2950</Words>
  <Characters>3574</Characters>
  <CharactersWithSpaces>3671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2018-02-01T05:35:00Z</dcterms:created>
  <dc:creator>ss1051210</dc:creator>
  <dc:description/>
  <dc:language>zh-TW</dc:language>
  <cp:lastModifiedBy/>
  <dcterms:modified xsi:type="dcterms:W3CDTF">2018-02-07T08:50:50Z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