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rp2kluk69vc" w:id="0"/>
      <w:bookmarkEnd w:id="0"/>
      <w:r w:rsidDel="00000000" w:rsidR="00000000" w:rsidRPr="00000000">
        <w:rPr>
          <w:b w:val="1"/>
          <w:bCs w:val="1"/>
          <w:sz w:val="34"/>
          <w:szCs w:val="34"/>
          <w:rtl w:val="0"/>
        </w:rPr>
        <w:t xml:space="preserve">Context</w:t>
      </w:r>
    </w:p>
    <w:p w:rsidR="00000000" w:rsidDel="00000000" w:rsidP="00000000" w:rsidRDefault="00000000" w:rsidRPr="00000000" w14:paraId="00000002">
      <w:pPr>
        <w:spacing w:after="240" w:before="240" w:lineRule="auto"/>
        <w:rPr/>
      </w:pPr>
      <w:r w:rsidDel="00000000" w:rsidR="00000000" w:rsidRPr="00000000">
        <w:rPr>
          <w:rtl w:val="0"/>
        </w:rPr>
        <w:t xml:space="preserve">This assignment is designed to introduce you to some of the functionality in Neara, and test your ability to use it to answer a customer question.</w:t>
      </w:r>
    </w:p>
    <w:p w:rsidR="00000000" w:rsidDel="00000000" w:rsidP="00000000" w:rsidRDefault="00000000" w:rsidRPr="00000000" w14:paraId="00000003">
      <w:pPr>
        <w:spacing w:after="240" w:before="240" w:lineRule="auto"/>
        <w:rPr/>
      </w:pPr>
      <w:r w:rsidDel="00000000" w:rsidR="00000000" w:rsidRPr="00000000">
        <w:rPr>
          <w:rtl w:val="0"/>
        </w:rPr>
        <w:t xml:space="preserve">In this assignment, we will be seeing how much value there is in switching from an 'age based' to a 'value based' replacement strategy for our customer. They replace 28 out of every 1000 poles in their network each year, and they have a full network of 100,000 poles. You are running a pilot on a small but representative section of the network.</w:t>
      </w:r>
    </w:p>
    <w:p w:rsidR="00000000" w:rsidDel="00000000" w:rsidP="00000000" w:rsidRDefault="00000000" w:rsidRPr="00000000" w14:paraId="00000004">
      <w:pPr>
        <w:spacing w:after="240" w:before="240" w:lineRule="auto"/>
        <w:rPr>
          <w:color w:val="1155cc"/>
          <w:u w:val="single"/>
        </w:rPr>
      </w:pPr>
      <w:r w:rsidDel="00000000" w:rsidR="00000000" w:rsidRPr="00000000">
        <w:rPr>
          <w:rtl w:val="0"/>
        </w:rPr>
        <w:t xml:space="preserve">See some videos to assist with completing Task 1 and Task 2</w:t>
      </w:r>
      <w:hyperlink r:id="rId6">
        <w:r w:rsidDel="00000000" w:rsidR="00000000" w:rsidRPr="00000000">
          <w:rPr>
            <w:rtl w:val="0"/>
          </w:rPr>
          <w:t xml:space="preserve"> </w:t>
        </w:r>
      </w:hyperlink>
      <w:hyperlink r:id="rId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ytjo7imie56" w:id="1"/>
      <w:bookmarkEnd w:id="1"/>
      <w:r w:rsidDel="00000000" w:rsidR="00000000" w:rsidRPr="00000000">
        <w:rPr>
          <w:b w:val="1"/>
          <w:bCs w:val="1"/>
          <w:sz w:val="34"/>
          <w:szCs w:val="34"/>
          <w:rtl w:val="0"/>
        </w:rPr>
        <w:t xml:space="preserve">Task 1. Calculate value of replacement for each pole</w:t>
      </w:r>
    </w:p>
    <w:p w:rsidR="00000000" w:rsidDel="00000000" w:rsidP="00000000" w:rsidRDefault="00000000" w:rsidRPr="00000000" w14:paraId="00000006">
      <w:pPr>
        <w:spacing w:after="240" w:before="240" w:lineRule="auto"/>
        <w:rPr/>
      </w:pPr>
      <w:r w:rsidDel="00000000" w:rsidR="00000000" w:rsidRPr="00000000">
        <w:rPr>
          <w:rtl w:val="0"/>
        </w:rPr>
        <w:t xml:space="preserve">Objective: Calculate the value of replacing (or intervening) for every pole in the Asset List data table.</w:t>
      </w:r>
    </w:p>
    <w:p w:rsidR="00000000" w:rsidDel="00000000" w:rsidP="00000000" w:rsidRDefault="00000000" w:rsidRPr="00000000" w14:paraId="00000007">
      <w:pPr>
        <w:spacing w:after="240" w:before="240" w:lineRule="auto"/>
        <w:rPr/>
      </w:pPr>
      <w:r w:rsidDel="00000000" w:rsidR="00000000" w:rsidRPr="00000000">
        <w:rPr>
          <w:rtl w:val="0"/>
        </w:rPr>
        <w:t xml:space="preserve">First steps:</w:t>
      </w:r>
    </w:p>
    <w:p w:rsidR="00000000" w:rsidDel="00000000" w:rsidP="00000000" w:rsidRDefault="00000000" w:rsidRPr="00000000" w14:paraId="00000008">
      <w:pPr>
        <w:numPr>
          <w:ilvl w:val="0"/>
          <w:numId w:val="5"/>
        </w:numPr>
        <w:spacing w:after="240" w:before="240" w:lineRule="auto"/>
        <w:ind w:left="720" w:hanging="360"/>
      </w:pPr>
      <w:r w:rsidDel="00000000" w:rsidR="00000000" w:rsidRPr="00000000">
        <w:rPr>
          <w:rtl w:val="0"/>
        </w:rPr>
        <w:t xml:space="preserve">Open this project link (</w:t>
      </w:r>
      <w:hyperlink r:id="rId8">
        <w:r w:rsidDel="00000000" w:rsidR="00000000" w:rsidRPr="00000000">
          <w:rPr>
            <w:color w:val="1155cc"/>
            <w:u w:val="single"/>
            <w:rtl w:val="0"/>
          </w:rPr>
          <w:t xml:space="preserve">https://app.neara.com/?org=interview#designId:dh4rPWnykpX1</w:t>
        </w:r>
      </w:hyperlink>
      <w:r w:rsidDel="00000000" w:rsidR="00000000" w:rsidRPr="00000000">
        <w:rPr>
          <w:rtl w:val="0"/>
        </w:rPr>
        <w:t xml:space="preserve">) and create a copy with the button on the top yellow ribbon.</w:t>
      </w:r>
    </w:p>
    <w:p w:rsidR="00000000" w:rsidDel="00000000" w:rsidP="00000000" w:rsidRDefault="00000000" w:rsidRPr="00000000" w14:paraId="00000009">
      <w:pPr>
        <w:rPr/>
      </w:pPr>
      <w:r w:rsidDel="00000000" w:rsidR="00000000" w:rsidRPr="00000000">
        <w:rPr/>
        <w:drawing>
          <wp:inline distB="114300" distT="114300" distL="114300" distR="114300">
            <wp:extent cx="2243138" cy="248039"/>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243138" cy="24803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4"/>
        </w:numPr>
        <w:spacing w:after="240" w:before="240" w:lineRule="auto"/>
        <w:ind w:left="720" w:hanging="360"/>
      </w:pPr>
      <w:r w:rsidDel="00000000" w:rsidR="00000000" w:rsidRPr="00000000">
        <w:rPr>
          <w:rtl w:val="0"/>
        </w:rPr>
        <w:t xml:space="preserve">You should see the following screen</w:t>
      </w:r>
    </w:p>
    <w:p w:rsidR="00000000" w:rsidDel="00000000" w:rsidP="00000000" w:rsidRDefault="00000000" w:rsidRPr="00000000" w14:paraId="0000000B">
      <w:pPr>
        <w:rPr/>
      </w:pPr>
      <w:r w:rsidDel="00000000" w:rsidR="00000000" w:rsidRPr="00000000">
        <w:rPr/>
        <w:drawing>
          <wp:inline distB="114300" distT="114300" distL="114300" distR="114300">
            <wp:extent cx="5943600" cy="28956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9"/>
        </w:numPr>
        <w:ind w:left="720" w:hanging="360"/>
        <w:rPr>
          <w:u w:val="none"/>
        </w:rPr>
      </w:pPr>
      <w:r w:rsidDel="00000000" w:rsidR="00000000" w:rsidRPr="00000000">
        <w:rPr>
          <w:rtl w:val="0"/>
        </w:rPr>
        <w:t xml:space="preserve">Please adjust the sharing properties of your project by navigating to </w:t>
      </w:r>
      <w:r w:rsidDel="00000000" w:rsidR="00000000" w:rsidRPr="00000000">
        <w:rPr>
          <w:b w:val="1"/>
          <w:bCs w:val="1"/>
          <w:rtl w:val="0"/>
        </w:rPr>
        <w:t xml:space="preserve">Project &gt; Share </w:t>
      </w:r>
      <w:r w:rsidDel="00000000" w:rsidR="00000000" w:rsidRPr="00000000">
        <w:rPr>
          <w:rtl w:val="0"/>
        </w:rPr>
        <w:t xml:space="preserve">and change to the </w:t>
      </w:r>
      <w:r w:rsidDel="00000000" w:rsidR="00000000" w:rsidRPr="00000000">
        <w:rPr>
          <w:b w:val="1"/>
          <w:bCs w:val="1"/>
          <w:rtl w:val="0"/>
        </w:rPr>
        <w:t xml:space="preserve">Access Level </w:t>
      </w:r>
      <w:r w:rsidDel="00000000" w:rsidR="00000000" w:rsidRPr="00000000">
        <w:rPr>
          <w:rtl w:val="0"/>
        </w:rPr>
        <w:t xml:space="preserve">under </w:t>
      </w:r>
      <w:r w:rsidDel="00000000" w:rsidR="00000000" w:rsidRPr="00000000">
        <w:rPr>
          <w:b w:val="1"/>
          <w:bCs w:val="1"/>
          <w:rtl w:val="0"/>
        </w:rPr>
        <w:t xml:space="preserve">Users and teams </w:t>
      </w:r>
      <w:r w:rsidDel="00000000" w:rsidR="00000000" w:rsidRPr="00000000">
        <w:rPr>
          <w:rtl w:val="0"/>
        </w:rPr>
        <w:t xml:space="preserve">to </w:t>
      </w:r>
      <w:r w:rsidDel="00000000" w:rsidR="00000000" w:rsidRPr="00000000">
        <w:rPr>
          <w:b w:val="1"/>
          <w:bCs w:val="1"/>
          <w:rtl w:val="0"/>
        </w:rPr>
        <w:t xml:space="preserve">None</w:t>
      </w: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drawing>
          <wp:inline distB="114300" distT="114300" distL="114300" distR="114300">
            <wp:extent cx="5943600" cy="22606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Watch the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video</w:t>
        </w:r>
      </w:hyperlink>
      <w:r w:rsidDel="00000000" w:rsidR="00000000" w:rsidRPr="00000000">
        <w:rPr>
          <w:rtl w:val="0"/>
        </w:rPr>
        <w:t xml:space="preserve"> with more guidance on how to use Neara to complete this task</w:t>
      </w:r>
    </w:p>
    <w:p w:rsidR="00000000" w:rsidDel="00000000" w:rsidP="00000000" w:rsidRDefault="00000000" w:rsidRPr="00000000" w14:paraId="00000011">
      <w:pPr>
        <w:spacing w:after="240" w:before="240" w:lineRule="auto"/>
        <w:rPr/>
      </w:pPr>
      <w:r w:rsidDel="00000000" w:rsidR="00000000" w:rsidRPr="00000000">
        <w:rPr>
          <w:rtl w:val="0"/>
        </w:rPr>
        <w:t xml:space="preserve">Written documentation of useful functions:</w:t>
      </w:r>
    </w:p>
    <w:p w:rsidR="00000000" w:rsidDel="00000000" w:rsidP="00000000" w:rsidRDefault="00000000" w:rsidRPr="00000000" w14:paraId="00000012">
      <w:pPr>
        <w:numPr>
          <w:ilvl w:val="0"/>
          <w:numId w:val="1"/>
        </w:numPr>
        <w:spacing w:after="0" w:afterAutospacing="0" w:before="240" w:lineRule="auto"/>
        <w:ind w:left="720" w:hanging="360"/>
      </w:pPr>
      <w:hyperlink r:id="rId14">
        <w:r w:rsidDel="00000000" w:rsidR="00000000" w:rsidRPr="00000000">
          <w:rPr>
            <w:color w:val="1155cc"/>
            <w:u w:val="single"/>
            <w:rtl w:val="0"/>
          </w:rPr>
          <w:t xml:space="preserve">find</w:t>
        </w:r>
      </w:hyperlink>
      <w:r w:rsidDel="00000000" w:rsidR="00000000" w:rsidRPr="00000000">
        <w:rPr>
          <w:rtl w:val="0"/>
        </w:rPr>
      </w:r>
    </w:p>
    <w:p w:rsidR="00000000" w:rsidDel="00000000" w:rsidP="00000000" w:rsidRDefault="00000000" w:rsidRPr="00000000" w14:paraId="00000013">
      <w:pPr>
        <w:numPr>
          <w:ilvl w:val="0"/>
          <w:numId w:val="1"/>
        </w:numPr>
        <w:spacing w:after="0" w:afterAutospacing="0" w:before="0" w:beforeAutospacing="0" w:lineRule="auto"/>
        <w:ind w:left="720" w:hanging="360"/>
      </w:pPr>
      <w:hyperlink r:id="rId15">
        <w:r w:rsidDel="00000000" w:rsidR="00000000" w:rsidRPr="00000000">
          <w:rPr>
            <w:color w:val="1155cc"/>
            <w:u w:val="single"/>
            <w:rtl w:val="0"/>
          </w:rPr>
          <w:t xml:space="preserve">filter</w:t>
        </w:r>
      </w:hyperlink>
      <w:r w:rsidDel="00000000" w:rsidR="00000000" w:rsidRPr="00000000">
        <w:rPr>
          <w:rtl w:val="0"/>
        </w:rPr>
      </w:r>
    </w:p>
    <w:p w:rsidR="00000000" w:rsidDel="00000000" w:rsidP="00000000" w:rsidRDefault="00000000" w:rsidRPr="00000000" w14:paraId="00000014">
      <w:pPr>
        <w:numPr>
          <w:ilvl w:val="0"/>
          <w:numId w:val="1"/>
        </w:numPr>
        <w:spacing w:after="0" w:afterAutospacing="0" w:before="0" w:beforeAutospacing="0" w:lineRule="auto"/>
        <w:ind w:left="720" w:hanging="360"/>
      </w:pPr>
      <w:hyperlink r:id="rId16">
        <w:r w:rsidDel="00000000" w:rsidR="00000000" w:rsidRPr="00000000">
          <w:rPr>
            <w:color w:val="1155cc"/>
            <w:u w:val="single"/>
            <w:rtl w:val="0"/>
          </w:rPr>
          <w:t xml:space="preserve">broadcast</w:t>
        </w:r>
      </w:hyperlink>
      <w:r w:rsidDel="00000000" w:rsidR="00000000" w:rsidRPr="00000000">
        <w:rPr>
          <w:rtl w:val="0"/>
        </w:rPr>
      </w:r>
    </w:p>
    <w:p w:rsidR="00000000" w:rsidDel="00000000" w:rsidP="00000000" w:rsidRDefault="00000000" w:rsidRPr="00000000" w14:paraId="00000015">
      <w:pPr>
        <w:numPr>
          <w:ilvl w:val="0"/>
          <w:numId w:val="1"/>
        </w:numPr>
        <w:spacing w:after="0" w:afterAutospacing="0" w:before="0" w:beforeAutospacing="0" w:lineRule="auto"/>
        <w:ind w:left="720" w:hanging="360"/>
      </w:pPr>
      <w:hyperlink r:id="rId17">
        <w:r w:rsidDel="00000000" w:rsidR="00000000" w:rsidRPr="00000000">
          <w:rPr>
            <w:color w:val="1155cc"/>
            <w:u w:val="single"/>
            <w:rtl w:val="0"/>
          </w:rPr>
          <w:t xml:space="preserve">boolean operations</w:t>
        </w:r>
      </w:hyperlink>
      <w:r w:rsidDel="00000000" w:rsidR="00000000" w:rsidRPr="00000000">
        <w:rPr>
          <w:rtl w:val="0"/>
        </w:rPr>
      </w:r>
    </w:p>
    <w:p w:rsidR="00000000" w:rsidDel="00000000" w:rsidP="00000000" w:rsidRDefault="00000000" w:rsidRPr="00000000" w14:paraId="00000016">
      <w:pPr>
        <w:numPr>
          <w:ilvl w:val="0"/>
          <w:numId w:val="1"/>
        </w:numPr>
        <w:spacing w:after="240" w:before="0" w:beforeAutospacing="0" w:lineRule="auto"/>
        <w:ind w:left="720" w:hanging="360"/>
      </w:pPr>
      <w:hyperlink r:id="rId18">
        <w:r w:rsidDel="00000000" w:rsidR="00000000" w:rsidRPr="00000000">
          <w:rPr>
            <w:color w:val="1155cc"/>
            <w:u w:val="single"/>
            <w:rtl w:val="0"/>
          </w:rPr>
          <w:t xml:space="preserve">mathematical operations</w:t>
        </w:r>
      </w:hyperlink>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58zi00eifgrr" w:id="2"/>
      <w:bookmarkEnd w:id="2"/>
      <w:r w:rsidDel="00000000" w:rsidR="00000000" w:rsidRPr="00000000">
        <w:rPr>
          <w:b w:val="1"/>
          <w:bCs w:val="1"/>
          <w:sz w:val="34"/>
          <w:szCs w:val="34"/>
          <w:rtl w:val="0"/>
        </w:rPr>
        <w:t xml:space="preserve">Task 2. Find risk of overlapping spans</w:t>
      </w:r>
    </w:p>
    <w:p w:rsidR="00000000" w:rsidDel="00000000" w:rsidP="00000000" w:rsidRDefault="00000000" w:rsidRPr="00000000" w14:paraId="00000018">
      <w:pPr>
        <w:spacing w:after="240" w:before="240" w:lineRule="auto"/>
        <w:rPr/>
      </w:pPr>
      <w:r w:rsidDel="00000000" w:rsidR="00000000" w:rsidRPr="00000000">
        <w:rPr>
          <w:rtl w:val="0"/>
        </w:rPr>
        <w:t xml:space="preserve">Objective: Find how many spans are overlapping, and apply the correct risk modifiers back to the original risk calculations in the Asset List table. </w:t>
      </w:r>
    </w:p>
    <w:p w:rsidR="00000000" w:rsidDel="00000000" w:rsidP="00000000" w:rsidRDefault="00000000" w:rsidRPr="00000000" w14:paraId="00000019">
      <w:pPr>
        <w:spacing w:after="240" w:before="240" w:lineRule="auto"/>
        <w:rPr/>
      </w:pPr>
      <w:r w:rsidDel="00000000" w:rsidR="00000000" w:rsidRPr="00000000">
        <w:rPr>
          <w:rtl w:val="0"/>
        </w:rPr>
        <w:t xml:space="preserve">First steps:</w:t>
      </w:r>
    </w:p>
    <w:p w:rsidR="00000000" w:rsidDel="00000000" w:rsidP="00000000" w:rsidRDefault="00000000" w:rsidRPr="00000000" w14:paraId="0000001A">
      <w:pPr>
        <w:numPr>
          <w:ilvl w:val="0"/>
          <w:numId w:val="3"/>
        </w:numPr>
        <w:spacing w:after="240" w:before="240" w:lineRule="auto"/>
        <w:ind w:left="720" w:hanging="360"/>
      </w:pPr>
      <w:r w:rsidDel="00000000" w:rsidR="00000000" w:rsidRPr="00000000">
        <w:rPr>
          <w:rtl w:val="0"/>
        </w:rPr>
        <w:t xml:space="preserve">In the same project, click on the second tab at the bottom to see a handful of spans that have additional information modelled</w:t>
      </w:r>
    </w:p>
    <w:p w:rsidR="00000000" w:rsidDel="00000000" w:rsidP="00000000" w:rsidRDefault="00000000" w:rsidRPr="00000000" w14:paraId="0000001B">
      <w:pPr>
        <w:rPr/>
      </w:pPr>
      <w:r w:rsidDel="00000000" w:rsidR="00000000" w:rsidRPr="00000000">
        <w:rPr/>
        <w:drawing>
          <wp:inline distB="114300" distT="114300" distL="114300" distR="114300">
            <wp:extent cx="5943600" cy="2755900"/>
            <wp:effectExtent b="0" l="0" r="0" t="0"/>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8"/>
        </w:numPr>
        <w:spacing w:after="240" w:before="240" w:lineRule="auto"/>
        <w:ind w:left="720" w:hanging="360"/>
      </w:pPr>
      <w:r w:rsidDel="00000000" w:rsidR="00000000" w:rsidRPr="00000000">
        <w:rPr>
          <w:rtl w:val="0"/>
        </w:rPr>
        <w:t xml:space="preserve">Watch the task 2</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video</w:t>
        </w:r>
      </w:hyperlink>
      <w:r w:rsidDel="00000000" w:rsidR="00000000" w:rsidRPr="00000000">
        <w:rPr>
          <w:rtl w:val="0"/>
        </w:rPr>
        <w:t xml:space="preserve"> for more guidance on how to use Neara to complete this task</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Other useful context</w:t>
      </w:r>
    </w:p>
    <w:p w:rsidR="00000000" w:rsidDel="00000000" w:rsidP="00000000" w:rsidRDefault="00000000" w:rsidRPr="00000000" w14:paraId="0000001F">
      <w:pPr>
        <w:numPr>
          <w:ilvl w:val="0"/>
          <w:numId w:val="6"/>
        </w:numPr>
        <w:spacing w:after="0" w:afterAutospacing="0" w:before="240" w:lineRule="auto"/>
        <w:ind w:left="720" w:hanging="360"/>
        <w:rPr>
          <w:u w:val="none"/>
        </w:rPr>
      </w:pPr>
      <w:r w:rsidDel="00000000" w:rsidR="00000000" w:rsidRPr="00000000">
        <w:rPr>
          <w:rtl w:val="0"/>
        </w:rPr>
        <w:t xml:space="preserve">Each ‘dot’ corresponds to a pole. You will need to somehow determine which dot corresponds to which pole and combine the data, so you can find the pole ID (in Pole IDs) of each pole (in Poles). The geo_query function will be useful for this task. </w:t>
      </w:r>
    </w:p>
    <w:p w:rsidR="00000000" w:rsidDel="00000000" w:rsidP="00000000" w:rsidRDefault="00000000" w:rsidRPr="00000000" w14:paraId="00000020">
      <w:pPr>
        <w:numPr>
          <w:ilvl w:val="0"/>
          <w:numId w:val="6"/>
        </w:numPr>
        <w:spacing w:after="0" w:afterAutospacing="0" w:before="0" w:beforeAutospacing="0" w:lineRule="auto"/>
        <w:ind w:left="720" w:hanging="360"/>
        <w:rPr>
          <w:u w:val="none"/>
        </w:rPr>
      </w:pPr>
      <w:r w:rsidDel="00000000" w:rsidR="00000000" w:rsidRPr="00000000">
        <w:rPr>
          <w:rtl w:val="0"/>
        </w:rPr>
        <w:t xml:space="preserve">You will use this pole ID to update the span overlapping risk back onto the main data table (Asset List)</w:t>
      </w:r>
    </w:p>
    <w:p w:rsidR="00000000" w:rsidDel="00000000" w:rsidP="00000000" w:rsidRDefault="00000000" w:rsidRPr="00000000" w14:paraId="00000021">
      <w:pPr>
        <w:numPr>
          <w:ilvl w:val="0"/>
          <w:numId w:val="6"/>
        </w:numPr>
        <w:spacing w:after="0" w:afterAutospacing="0" w:before="0" w:beforeAutospacing="0" w:lineRule="auto"/>
        <w:ind w:left="720" w:hanging="360"/>
        <w:rPr>
          <w:u w:val="none"/>
        </w:rPr>
      </w:pPr>
      <w:r w:rsidDel="00000000" w:rsidR="00000000" w:rsidRPr="00000000">
        <w:rPr>
          <w:rtl w:val="0"/>
        </w:rPr>
        <w:t xml:space="preserve">Overlapping here can be seen as how many spans are ‘below’ the span, and ignore the ones above</w:t>
      </w:r>
    </w:p>
    <w:p w:rsidR="00000000" w:rsidDel="00000000" w:rsidP="00000000" w:rsidRDefault="00000000" w:rsidRPr="00000000" w14:paraId="00000022">
      <w:pPr>
        <w:numPr>
          <w:ilvl w:val="0"/>
          <w:numId w:val="6"/>
        </w:numPr>
        <w:spacing w:after="0" w:afterAutospacing="0" w:before="0" w:beforeAutospacing="0" w:lineRule="auto"/>
        <w:ind w:left="720" w:hanging="360"/>
        <w:rPr>
          <w:u w:val="none"/>
        </w:rPr>
      </w:pPr>
      <w:r w:rsidDel="00000000" w:rsidR="00000000" w:rsidRPr="00000000">
        <w:rPr>
          <w:rtl w:val="0"/>
        </w:rPr>
        <w:t xml:space="preserve">model().Spans can help access the spans table, in the same way that model().dt_asset_list would access the manual data tables.</w:t>
      </w:r>
    </w:p>
    <w:p w:rsidR="00000000" w:rsidDel="00000000" w:rsidP="00000000" w:rsidRDefault="00000000" w:rsidRPr="00000000" w14:paraId="00000023">
      <w:pPr>
        <w:numPr>
          <w:ilvl w:val="0"/>
          <w:numId w:val="6"/>
        </w:numPr>
        <w:spacing w:after="0" w:afterAutospacing="0" w:before="0" w:beforeAutospacing="0" w:lineRule="auto"/>
        <w:ind w:left="720" w:hanging="360"/>
        <w:rPr>
          <w:u w:val="none"/>
        </w:rPr>
      </w:pPr>
      <w:r w:rsidDel="00000000" w:rsidR="00000000" w:rsidRPr="00000000">
        <w:rPr>
          <w:rtl w:val="0"/>
        </w:rPr>
        <w:t xml:space="preserve">Lots of normal maths/excel functions are in Neara, and behave as you would expect (e.g. len())</w:t>
      </w:r>
    </w:p>
    <w:p w:rsidR="00000000" w:rsidDel="00000000" w:rsidP="00000000" w:rsidRDefault="00000000" w:rsidRPr="00000000" w14:paraId="00000024">
      <w:pPr>
        <w:numPr>
          <w:ilvl w:val="0"/>
          <w:numId w:val="6"/>
        </w:numPr>
        <w:spacing w:after="240" w:before="0" w:beforeAutospacing="0" w:lineRule="auto"/>
        <w:ind w:left="720" w:hanging="360"/>
        <w:rPr>
          <w:u w:val="none"/>
        </w:rPr>
      </w:pPr>
      <w:r w:rsidDel="00000000" w:rsidR="00000000" w:rsidRPr="00000000">
        <w:rPr>
          <w:rtl w:val="0"/>
        </w:rPr>
        <w:t xml:space="preserve">If for some reason the dots disappear or the pole ID table is empty, press ‘F’ and click on the map where the poles are. You can click the crosshair next to a pole in the Poles table to auto zoom to it if you lose it on the map</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Written documentation of useful functions:</w:t>
      </w:r>
    </w:p>
    <w:p w:rsidR="00000000" w:rsidDel="00000000" w:rsidP="00000000" w:rsidRDefault="00000000" w:rsidRPr="00000000" w14:paraId="00000027">
      <w:pPr>
        <w:numPr>
          <w:ilvl w:val="0"/>
          <w:numId w:val="2"/>
        </w:numPr>
        <w:spacing w:after="0" w:afterAutospacing="0" w:before="240" w:lineRule="auto"/>
        <w:ind w:left="720" w:hanging="360"/>
      </w:pPr>
      <w:hyperlink r:id="rId22">
        <w:r w:rsidDel="00000000" w:rsidR="00000000" w:rsidRPr="00000000">
          <w:rPr>
            <w:color w:val="1155cc"/>
            <w:u w:val="single"/>
            <w:rtl w:val="0"/>
          </w:rPr>
          <w:t xml:space="preserve">geo_query</w:t>
        </w:r>
      </w:hyperlink>
      <w:r w:rsidDel="00000000" w:rsidR="00000000" w:rsidRPr="00000000">
        <w:rPr>
          <w:rtl w:val="0"/>
        </w:rPr>
      </w:r>
    </w:p>
    <w:p w:rsidR="00000000" w:rsidDel="00000000" w:rsidP="00000000" w:rsidRDefault="00000000" w:rsidRPr="00000000" w14:paraId="00000028">
      <w:pPr>
        <w:numPr>
          <w:ilvl w:val="0"/>
          <w:numId w:val="2"/>
        </w:numPr>
        <w:spacing w:after="240" w:before="0" w:beforeAutospacing="0" w:lineRule="auto"/>
        <w:ind w:left="720" w:hanging="360"/>
      </w:pPr>
      <w:hyperlink r:id="rId23">
        <w:r w:rsidDel="00000000" w:rsidR="00000000" w:rsidRPr="00000000">
          <w:rPr>
            <w:color w:val="1155cc"/>
            <w:u w:val="single"/>
            <w:rtl w:val="0"/>
          </w:rPr>
          <w:t xml:space="preserve">The set of find_ functions</w:t>
        </w:r>
      </w:hyperlink>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vb6xlg2m2xv7" w:id="3"/>
      <w:bookmarkEnd w:id="3"/>
      <w:r w:rsidDel="00000000" w:rsidR="00000000" w:rsidRPr="00000000">
        <w:rPr>
          <w:b w:val="1"/>
          <w:bCs w:val="1"/>
          <w:sz w:val="34"/>
          <w:szCs w:val="34"/>
          <w:rtl w:val="0"/>
        </w:rPr>
        <w:t xml:space="preserve">Task 3. Calculate the benefits, and summarise in a short report</w:t>
      </w:r>
    </w:p>
    <w:p w:rsidR="00000000" w:rsidDel="00000000" w:rsidP="00000000" w:rsidRDefault="00000000" w:rsidRPr="00000000" w14:paraId="0000002A">
      <w:pPr>
        <w:spacing w:after="240" w:before="240" w:lineRule="auto"/>
        <w:rPr/>
      </w:pPr>
      <w:r w:rsidDel="00000000" w:rsidR="00000000" w:rsidRPr="00000000">
        <w:rPr>
          <w:rtl w:val="0"/>
        </w:rPr>
        <w:t xml:space="preserve">Objective: Calculate and communicate the results and recommendations of the project (in particular customer ROI) in a short report to be presented to the customer</w:t>
      </w:r>
    </w:p>
    <w:p w:rsidR="00000000" w:rsidDel="00000000" w:rsidP="00000000" w:rsidRDefault="00000000" w:rsidRPr="00000000" w14:paraId="0000002B">
      <w:pPr>
        <w:spacing w:after="240" w:before="240" w:lineRule="auto"/>
        <w:rPr/>
      </w:pPr>
      <w:r w:rsidDel="00000000" w:rsidR="00000000" w:rsidRPr="00000000">
        <w:rPr>
          <w:rtl w:val="0"/>
        </w:rPr>
        <w:t xml:space="preserve">First steps:</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Download your table as a csv</w:t>
        <w:br w:type="textWrapping"/>
      </w:r>
      <w:r w:rsidDel="00000000" w:rsidR="00000000" w:rsidRPr="00000000">
        <w:rPr/>
        <w:drawing>
          <wp:inline distB="114300" distT="114300" distL="114300" distR="114300">
            <wp:extent cx="514350" cy="400050"/>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143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Summarise/pivot your results as you wish</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Summarise your findings in a report, either a word doc or slides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color w:val="ff0000"/>
        </w:rPr>
      </w:pPr>
      <w:r w:rsidDel="00000000" w:rsidR="00000000" w:rsidRPr="00000000">
        <w:rPr>
          <w:color w:val="ff0000"/>
          <w:rtl w:val="0"/>
        </w:rPr>
        <w:t xml:space="preserve">Please share your Neara project URL with us in the presentation, and in the comments attached to your submission</w:t>
      </w:r>
    </w:p>
    <w:p w:rsidR="00000000" w:rsidDel="00000000" w:rsidP="00000000" w:rsidRDefault="00000000" w:rsidRPr="00000000" w14:paraId="00000031">
      <w:pPr>
        <w:rPr>
          <w:color w:val="ff0000"/>
        </w:rPr>
      </w:pPr>
      <w:r w:rsidDel="00000000" w:rsidR="00000000" w:rsidRPr="00000000">
        <w:rPr>
          <w:rtl w:val="0"/>
        </w:rPr>
      </w:r>
    </w:p>
    <w:p w:rsidR="00000000" w:rsidDel="00000000" w:rsidP="00000000" w:rsidRDefault="00000000" w:rsidRPr="00000000" w14:paraId="00000032">
      <w:pPr>
        <w:rPr>
          <w:color w:val="ff0000"/>
        </w:rPr>
      </w:pPr>
      <w:r w:rsidDel="00000000" w:rsidR="00000000" w:rsidRPr="00000000">
        <w:rPr>
          <w:color w:val="ff0000"/>
          <w:rtl w:val="0"/>
        </w:rPr>
        <w:t xml:space="preserve">Please do not use AI to complete the homework. You’ll be further tested on these functions and logic in a live interview, so it will be important that you somewhat understand them, and we are interested in how you articulate your ideas.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YuHbEjLO3e5jJvA0YTPD9unuGFl7jsof?usp=drive_link" TargetMode="External"/><Relationship Id="rId11" Type="http://schemas.openxmlformats.org/officeDocument/2006/relationships/image" Target="media/image4.png"/><Relationship Id="rId22" Type="http://schemas.openxmlformats.org/officeDocument/2006/relationships/hyperlink" Target="https://knowledge.neara.com/en/articles/8942780-geometries-and-bodies#h_125015598a" TargetMode="External"/><Relationship Id="rId10" Type="http://schemas.openxmlformats.org/officeDocument/2006/relationships/image" Target="media/image3.png"/><Relationship Id="rId21" Type="http://schemas.openxmlformats.org/officeDocument/2006/relationships/hyperlink" Target="https://drive.google.com/drive/folders/1YuHbEjLO3e5jJvA0YTPD9unuGFl7jsof?usp=drive_link" TargetMode="External"/><Relationship Id="rId13" Type="http://schemas.openxmlformats.org/officeDocument/2006/relationships/hyperlink" Target="https://drive.google.com/drive/folders/1YuHbEjLO3e5jJvA0YTPD9unuGFl7jsof?usp=drive_link" TargetMode="External"/><Relationship Id="rId24" Type="http://schemas.openxmlformats.org/officeDocument/2006/relationships/image" Target="media/image1.png"/><Relationship Id="rId12" Type="http://schemas.openxmlformats.org/officeDocument/2006/relationships/hyperlink" Target="https://drive.google.com/drive/folders/1YuHbEjLO3e5jJvA0YTPD9unuGFl7jsof?usp=drive_link" TargetMode="External"/><Relationship Id="rId23" Type="http://schemas.openxmlformats.org/officeDocument/2006/relationships/hyperlink" Target="https://knowledge.neara.com/en/articles/8942779-engineering-operations-calculations-and-simulations#h_522b411fe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knowledge.neara.com/en/articles/8952473-lists-and-collections#h_58ee1c50ee" TargetMode="External"/><Relationship Id="rId14" Type="http://schemas.openxmlformats.org/officeDocument/2006/relationships/hyperlink" Target="https://knowledge.neara.com/en/articles/8952473-lists-and-collections#h_c1b102b70f" TargetMode="External"/><Relationship Id="rId17" Type="http://schemas.openxmlformats.org/officeDocument/2006/relationships/hyperlink" Target="https://knowledge.neara.com/en/articles/8942781-logical-boolean-operations#h_82a80cd3a4" TargetMode="External"/><Relationship Id="rId16" Type="http://schemas.openxmlformats.org/officeDocument/2006/relationships/hyperlink" Target="https://knowledge.neara.com/en/articles/8952473-lists-and-collections#h_fcd17b0aa6"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drive.google.com/drive/folders/1YuHbEjLO3e5jJvA0YTPD9unuGFl7jsof?usp=drive_link" TargetMode="External"/><Relationship Id="rId18" Type="http://schemas.openxmlformats.org/officeDocument/2006/relationships/hyperlink" Target="https://knowledge.neara.com/en/articles/8942783-mathematical-operations" TargetMode="External"/><Relationship Id="rId7" Type="http://schemas.openxmlformats.org/officeDocument/2006/relationships/hyperlink" Target="https://drive.google.com/drive/folders/1YuHbEjLO3e5jJvA0YTPD9unuGFl7jsof?usp=drive_link" TargetMode="External"/><Relationship Id="rId8" Type="http://schemas.openxmlformats.org/officeDocument/2006/relationships/hyperlink" Target="https://app.neara.com/?org=interview#designId:dh4rPWnykpX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