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5C" w:rsidRPr="00E7645C" w:rsidRDefault="00E7645C" w:rsidP="00E7645C">
      <w:pPr>
        <w:jc w:val="center"/>
        <w:rPr>
          <w:sz w:val="40"/>
          <w:szCs w:val="40"/>
        </w:rPr>
      </w:pPr>
      <w:r w:rsidRPr="00E7645C">
        <w:rPr>
          <w:sz w:val="40"/>
          <w:szCs w:val="40"/>
        </w:rPr>
        <w:t>Jackson serialization Strategy verses problem area</w:t>
      </w:r>
    </w:p>
    <w:p w:rsidR="00E7645C" w:rsidRDefault="00E7645C"/>
    <w:tbl>
      <w:tblPr>
        <w:tblStyle w:val="TableGrid"/>
        <w:tblW w:w="13516" w:type="dxa"/>
        <w:tblLook w:val="04A0" w:firstRow="1" w:lastRow="0" w:firstColumn="1" w:lastColumn="0" w:noHBand="0" w:noVBand="1"/>
      </w:tblPr>
      <w:tblGrid>
        <w:gridCol w:w="2268"/>
        <w:gridCol w:w="4230"/>
        <w:gridCol w:w="3780"/>
        <w:gridCol w:w="3238"/>
      </w:tblGrid>
      <w:tr w:rsidR="00E7645C" w:rsidTr="00CA7BE3">
        <w:trPr>
          <w:trHeight w:val="1112"/>
        </w:trPr>
        <w:tc>
          <w:tcPr>
            <w:tcW w:w="2268" w:type="dxa"/>
          </w:tcPr>
          <w:p w:rsidR="00E7645C" w:rsidRPr="00C3480A" w:rsidRDefault="00C3480A" w:rsidP="00E7645C">
            <w:pPr>
              <w:jc w:val="center"/>
              <w:rPr>
                <w:b/>
                <w:sz w:val="36"/>
                <w:szCs w:val="36"/>
              </w:rPr>
            </w:pPr>
            <w:r w:rsidRPr="00C3480A">
              <w:rPr>
                <w:b/>
                <w:sz w:val="36"/>
                <w:szCs w:val="36"/>
              </w:rPr>
              <w:t>Serialization Problem Area</w:t>
            </w:r>
          </w:p>
        </w:tc>
        <w:tc>
          <w:tcPr>
            <w:tcW w:w="4230" w:type="dxa"/>
          </w:tcPr>
          <w:p w:rsidR="00E7645C" w:rsidRPr="00E7645C" w:rsidRDefault="00E7645C" w:rsidP="00E7645C">
            <w:pPr>
              <w:jc w:val="center"/>
              <w:rPr>
                <w:b/>
                <w:sz w:val="36"/>
                <w:szCs w:val="36"/>
              </w:rPr>
            </w:pPr>
            <w:r w:rsidRPr="00E7645C">
              <w:rPr>
                <w:b/>
                <w:sz w:val="36"/>
                <w:szCs w:val="36"/>
              </w:rPr>
              <w:t>Convention Only</w:t>
            </w:r>
          </w:p>
          <w:p w:rsidR="00E7645C" w:rsidRDefault="00E7645C" w:rsidP="00E7645C">
            <w:pPr>
              <w:jc w:val="center"/>
            </w:pPr>
            <w:r>
              <w:t xml:space="preserve">Require that the objects serialize and </w:t>
            </w:r>
            <w:proofErr w:type="spellStart"/>
            <w:r>
              <w:t>deserialize</w:t>
            </w:r>
            <w:proofErr w:type="spellEnd"/>
            <w:r>
              <w:t xml:space="preserve"> with no annotations from the framework</w:t>
            </w:r>
          </w:p>
        </w:tc>
        <w:tc>
          <w:tcPr>
            <w:tcW w:w="3780" w:type="dxa"/>
          </w:tcPr>
          <w:p w:rsidR="00E7645C" w:rsidRDefault="00E7645C" w:rsidP="00E7645C">
            <w:pPr>
              <w:jc w:val="center"/>
              <w:rPr>
                <w:b/>
                <w:sz w:val="36"/>
                <w:szCs w:val="36"/>
              </w:rPr>
            </w:pPr>
            <w:r w:rsidRPr="00E7645C">
              <w:rPr>
                <w:b/>
                <w:sz w:val="36"/>
                <w:szCs w:val="36"/>
              </w:rPr>
              <w:t xml:space="preserve">Custom </w:t>
            </w:r>
            <w:r>
              <w:rPr>
                <w:b/>
                <w:sz w:val="36"/>
                <w:szCs w:val="36"/>
              </w:rPr>
              <w:t>(De)</w:t>
            </w:r>
            <w:proofErr w:type="spellStart"/>
            <w:r w:rsidRPr="00E7645C">
              <w:rPr>
                <w:b/>
                <w:sz w:val="36"/>
                <w:szCs w:val="36"/>
              </w:rPr>
              <w:t>Serializer</w:t>
            </w:r>
            <w:proofErr w:type="spellEnd"/>
          </w:p>
          <w:p w:rsidR="00E7645C" w:rsidRPr="00E7645C" w:rsidRDefault="00E7645C" w:rsidP="00E7645C">
            <w:pPr>
              <w:jc w:val="center"/>
            </w:pPr>
            <w:r>
              <w:t>Custom code that encodes/decodes member properties to/from a Jackson JSON tree document</w:t>
            </w:r>
          </w:p>
        </w:tc>
        <w:tc>
          <w:tcPr>
            <w:tcW w:w="3238" w:type="dxa"/>
          </w:tcPr>
          <w:p w:rsidR="00E7645C" w:rsidRPr="00E7645C" w:rsidRDefault="00E7645C" w:rsidP="00C3480A">
            <w:pPr>
              <w:jc w:val="center"/>
              <w:rPr>
                <w:b/>
                <w:sz w:val="18"/>
                <w:szCs w:val="18"/>
              </w:rPr>
            </w:pPr>
            <w:r w:rsidRPr="00E7645C">
              <w:rPr>
                <w:b/>
                <w:sz w:val="36"/>
                <w:szCs w:val="36"/>
              </w:rPr>
              <w:t>Annotations</w:t>
            </w:r>
            <w:r w:rsidRPr="00E7645C">
              <w:rPr>
                <w:b/>
                <w:sz w:val="18"/>
                <w:szCs w:val="18"/>
              </w:rPr>
              <w:t>(</w:t>
            </w:r>
            <w:proofErr w:type="spellStart"/>
            <w:r w:rsidRPr="00E7645C">
              <w:rPr>
                <w:b/>
                <w:sz w:val="18"/>
                <w:szCs w:val="18"/>
              </w:rPr>
              <w:t>MixIn</w:t>
            </w:r>
            <w:proofErr w:type="spellEnd"/>
            <w:r w:rsidRPr="00E7645C">
              <w:rPr>
                <w:b/>
                <w:sz w:val="18"/>
                <w:szCs w:val="18"/>
              </w:rPr>
              <w:t xml:space="preserve"> Shown)</w:t>
            </w:r>
          </w:p>
          <w:p w:rsidR="00E7645C" w:rsidRDefault="00E7645C" w:rsidP="00C3480A">
            <w:pPr>
              <w:jc w:val="center"/>
            </w:pPr>
            <w:r>
              <w:t xml:space="preserve">Annotations provide hits to non-conventional behavior to the Object Mapper.  Hints stored in a interface/abstract class are called </w:t>
            </w:r>
            <w:proofErr w:type="spellStart"/>
            <w:r>
              <w:t>MixIns</w:t>
            </w:r>
            <w:proofErr w:type="spellEnd"/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Read only data transfer objects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CA7BE3">
              <w:rPr>
                <w:highlight w:val="green"/>
              </w:rPr>
              <w:t>Require</w:t>
            </w:r>
            <w:r w:rsidR="00CA7BE3" w:rsidRPr="00CA7BE3">
              <w:rPr>
                <w:highlight w:val="green"/>
              </w:rPr>
              <w:t>s</w:t>
            </w:r>
            <w:r w:rsidRPr="00CA7BE3">
              <w:rPr>
                <w:highlight w:val="green"/>
              </w:rPr>
              <w:t xml:space="preserve"> the creation of no </w:t>
            </w:r>
            <w:proofErr w:type="spellStart"/>
            <w:r w:rsidRPr="00CA7BE3">
              <w:rPr>
                <w:highlight w:val="green"/>
              </w:rPr>
              <w:t>arg</w:t>
            </w:r>
            <w:proofErr w:type="spellEnd"/>
            <w:r w:rsidRPr="00CA7BE3">
              <w:rPr>
                <w:highlight w:val="green"/>
              </w:rPr>
              <w:t xml:space="preserve"> constructors to create objects.  May be private.</w:t>
            </w:r>
          </w:p>
          <w:p w:rsidR="00C3480A" w:rsidRDefault="00C3480A" w:rsidP="00C3480A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green"/>
              </w:rPr>
              <w:t>Require</w:t>
            </w:r>
            <w:r w:rsidR="00CA7BE3" w:rsidRPr="00CA7BE3">
              <w:rPr>
                <w:highlight w:val="green"/>
              </w:rPr>
              <w:t>s</w:t>
            </w:r>
            <w:r w:rsidRPr="00CA7BE3">
              <w:rPr>
                <w:highlight w:val="green"/>
              </w:rPr>
              <w:t xml:space="preserve"> the creation of setters.  May be private</w:t>
            </w:r>
            <w:r w:rsidR="00CA7BE3" w:rsidRPr="00CA7BE3">
              <w:rPr>
                <w:highlight w:val="green"/>
              </w:rPr>
              <w:t>.</w:t>
            </w:r>
          </w:p>
        </w:tc>
        <w:tc>
          <w:tcPr>
            <w:tcW w:w="3780" w:type="dxa"/>
          </w:tcPr>
          <w:p w:rsidR="00E7645C" w:rsidRPr="00CA7BE3" w:rsidRDefault="00CA7BE3" w:rsidP="00CA7BE3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>. (Large maintenance effort)</w:t>
            </w:r>
          </w:p>
        </w:tc>
        <w:tc>
          <w:tcPr>
            <w:tcW w:w="3238" w:type="dxa"/>
          </w:tcPr>
          <w:p w:rsidR="00E7645C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green"/>
              </w:rPr>
              <w:t>Use the @Constructor</w:t>
            </w:r>
            <w:r w:rsidR="00B55CFD">
              <w:rPr>
                <w:highlight w:val="green"/>
              </w:rPr>
              <w:t>/</w:t>
            </w:r>
            <w:r w:rsidR="00B55CFD">
              <w:t xml:space="preserve"> </w:t>
            </w:r>
            <w:r w:rsidR="00B55CFD" w:rsidRPr="00B55CFD">
              <w:rPr>
                <w:highlight w:val="green"/>
              </w:rPr>
              <w:t>@</w:t>
            </w:r>
            <w:proofErr w:type="spellStart"/>
            <w:r w:rsidR="00B55CFD" w:rsidRPr="00B55CFD">
              <w:rPr>
                <w:highlight w:val="green"/>
              </w:rPr>
              <w:t>JsonCreator</w:t>
            </w:r>
            <w:proofErr w:type="spellEnd"/>
            <w:r w:rsidRPr="00B55CFD">
              <w:rPr>
                <w:highlight w:val="green"/>
              </w:rPr>
              <w:t xml:space="preserve"> annotation to specify property inputs and order</w:t>
            </w:r>
            <w:r w:rsidR="00B55CFD" w:rsidRPr="00B55CFD">
              <w:rPr>
                <w:highlight w:val="green"/>
              </w:rPr>
              <w:t>.</w:t>
            </w:r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Derived value responses or hidden members.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>Requires that the object mapper be set to not strict mode where extraneous properties are permitted.</w:t>
            </w:r>
          </w:p>
          <w:p w:rsidR="00C3480A" w:rsidRDefault="004B0807" w:rsidP="00C3480A">
            <w:pPr>
              <w:pStyle w:val="ListParagraph"/>
              <w:numPr>
                <w:ilvl w:val="0"/>
                <w:numId w:val="1"/>
              </w:numPr>
            </w:pPr>
            <w:r>
              <w:rPr>
                <w:highlight w:val="yellow"/>
              </w:rPr>
              <w:t>Side load</w:t>
            </w:r>
            <w:r w:rsidR="00F42ACF">
              <w:rPr>
                <w:highlight w:val="yellow"/>
              </w:rPr>
              <w:t xml:space="preserve"> </w:t>
            </w:r>
            <w:r w:rsidR="00CA7BE3" w:rsidRPr="00CA7BE3">
              <w:rPr>
                <w:highlight w:val="yellow"/>
              </w:rPr>
              <w:t>get</w:t>
            </w:r>
            <w:r w:rsidR="00F42ACF">
              <w:rPr>
                <w:highlight w:val="yellow"/>
              </w:rPr>
              <w:t>/</w:t>
            </w:r>
            <w:r w:rsidR="00CA7BE3" w:rsidRPr="00CA7BE3">
              <w:rPr>
                <w:highlight w:val="yellow"/>
              </w:rPr>
              <w:t>set must be created.</w:t>
            </w:r>
          </w:p>
          <w:p w:rsidR="001D0EA1" w:rsidRDefault="001D0EA1" w:rsidP="004B0807">
            <w:pPr>
              <w:pStyle w:val="ListParagraph"/>
              <w:numPr>
                <w:ilvl w:val="0"/>
                <w:numId w:val="1"/>
              </w:numPr>
            </w:pPr>
            <w:r w:rsidRPr="001D0EA1">
              <w:rPr>
                <w:highlight w:val="yellow"/>
              </w:rPr>
              <w:t xml:space="preserve">Getters operating members </w:t>
            </w:r>
            <w:r w:rsidR="004B0807">
              <w:rPr>
                <w:highlight w:val="yellow"/>
              </w:rPr>
              <w:t xml:space="preserve">must </w:t>
            </w:r>
            <w:proofErr w:type="gramStart"/>
            <w:r w:rsidR="004B0807">
              <w:rPr>
                <w:highlight w:val="yellow"/>
              </w:rPr>
              <w:t xml:space="preserve">be </w:t>
            </w:r>
            <w:r w:rsidRPr="001D0EA1">
              <w:rPr>
                <w:highlight w:val="yellow"/>
              </w:rPr>
              <w:t xml:space="preserve"> initialized</w:t>
            </w:r>
            <w:proofErr w:type="gramEnd"/>
            <w:r w:rsidRPr="001D0EA1">
              <w:rPr>
                <w:highlight w:val="yellow"/>
              </w:rPr>
              <w:t xml:space="preserve"> </w:t>
            </w:r>
            <w:r w:rsidR="004B0807">
              <w:rPr>
                <w:highlight w:val="yellow"/>
              </w:rPr>
              <w:t xml:space="preserve">or </w:t>
            </w:r>
            <w:proofErr w:type="spellStart"/>
            <w:r w:rsidRPr="001D0EA1">
              <w:rPr>
                <w:highlight w:val="yellow"/>
              </w:rPr>
              <w:t>nullary</w:t>
            </w:r>
            <w:proofErr w:type="spellEnd"/>
            <w:r w:rsidRPr="001D0EA1">
              <w:rPr>
                <w:highlight w:val="yellow"/>
              </w:rPr>
              <w:t xml:space="preserve"> compliant</w:t>
            </w:r>
            <w:r w:rsidR="004B0807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  <w:r w:rsidR="004B0807">
              <w:t xml:space="preserve">  (Getter must be public)</w:t>
            </w:r>
          </w:p>
        </w:tc>
        <w:tc>
          <w:tcPr>
            <w:tcW w:w="3780" w:type="dxa"/>
          </w:tcPr>
          <w:p w:rsidR="00B55CFD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 xml:space="preserve">. </w:t>
            </w:r>
            <w:r w:rsidRPr="00B55CFD">
              <w:t>(Large maintenance effort)</w:t>
            </w:r>
          </w:p>
          <w:p w:rsidR="00CA7BE3" w:rsidRPr="00B55CFD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green"/>
              </w:rPr>
              <w:t>Best strategy</w:t>
            </w:r>
            <w:r w:rsidR="00B55CFD" w:rsidRPr="00B55CFD">
              <w:rPr>
                <w:highlight w:val="green"/>
              </w:rPr>
              <w:t xml:space="preserve"> for handling these hard to solve problems.</w:t>
            </w:r>
            <w:r w:rsidRPr="00B55CFD">
              <w:rPr>
                <w:highlight w:val="green"/>
              </w:rPr>
              <w:t xml:space="preserve"> </w:t>
            </w:r>
          </w:p>
        </w:tc>
        <w:tc>
          <w:tcPr>
            <w:tcW w:w="3238" w:type="dxa"/>
          </w:tcPr>
          <w:p w:rsidR="00E7645C" w:rsidRDefault="00B55CFD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yellow"/>
              </w:rPr>
              <w:t>Special private constructor with @Constructor annotation and additional properties exported.</w:t>
            </w:r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Type erasure for super class lists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CA7BE3">
              <w:rPr>
                <w:highlight w:val="yellow"/>
              </w:rPr>
              <w:t>Must implement extraneous property map convention</w:t>
            </w:r>
            <w:r w:rsidR="004718DC">
              <w:rPr>
                <w:highlight w:val="yellow"/>
              </w:rPr>
              <w:t xml:space="preserve"> using @</w:t>
            </w:r>
            <w:proofErr w:type="spellStart"/>
            <w:r w:rsidR="004718DC">
              <w:rPr>
                <w:highlight w:val="yellow"/>
              </w:rPr>
              <w:t>JsonAnyGetter</w:t>
            </w:r>
            <w:proofErr w:type="spellEnd"/>
            <w:r w:rsidR="004718DC">
              <w:rPr>
                <w:highlight w:val="yellow"/>
              </w:rPr>
              <w:t xml:space="preserve"> and @</w:t>
            </w:r>
            <w:proofErr w:type="spellStart"/>
            <w:r w:rsidR="004718DC">
              <w:rPr>
                <w:highlight w:val="yellow"/>
              </w:rPr>
              <w:t>JsonAnySetter</w:t>
            </w:r>
            <w:proofErr w:type="spellEnd"/>
            <w:r w:rsidR="004718DC">
              <w:rPr>
                <w:highlight w:val="yellow"/>
              </w:rPr>
              <w:t xml:space="preserve"> to avoid data loss</w:t>
            </w:r>
            <w:r w:rsidRPr="00CA7BE3">
              <w:rPr>
                <w:highlight w:val="yellow"/>
              </w:rPr>
              <w:t>.</w:t>
            </w:r>
            <w:r w:rsidR="004718DC">
              <w:rPr>
                <w:highlight w:val="yellow"/>
              </w:rPr>
              <w:t xml:space="preserve">  </w:t>
            </w:r>
          </w:p>
          <w:p w:rsidR="00C3480A" w:rsidRDefault="00CA7BE3" w:rsidP="00C3480A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red"/>
              </w:rPr>
              <w:t>Custom code to handle cast compatibility</w:t>
            </w:r>
            <w:r w:rsidR="004718DC">
              <w:rPr>
                <w:highlight w:val="red"/>
              </w:rPr>
              <w:t xml:space="preserve"> and 2x the objects would have to be created.  The first is for the </w:t>
            </w:r>
            <w:proofErr w:type="spellStart"/>
            <w:r w:rsidR="004718DC">
              <w:rPr>
                <w:highlight w:val="red"/>
              </w:rPr>
              <w:t>agreggate</w:t>
            </w:r>
            <w:proofErr w:type="spellEnd"/>
            <w:r w:rsidR="004718DC">
              <w:rPr>
                <w:highlight w:val="red"/>
              </w:rPr>
              <w:t xml:space="preserve"> super type object and the second is the specific implementation</w:t>
            </w:r>
            <w:bookmarkStart w:id="0" w:name="_GoBack"/>
            <w:bookmarkEnd w:id="0"/>
            <w:r w:rsidRPr="00CA7BE3">
              <w:rPr>
                <w:highlight w:val="red"/>
              </w:rPr>
              <w:t>.</w:t>
            </w:r>
          </w:p>
        </w:tc>
        <w:tc>
          <w:tcPr>
            <w:tcW w:w="3780" w:type="dxa"/>
          </w:tcPr>
          <w:p w:rsidR="00E7645C" w:rsidRPr="00CA7BE3" w:rsidRDefault="00CA7BE3" w:rsidP="00CA7BE3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>. (Large maintenance effort)</w:t>
            </w:r>
          </w:p>
        </w:tc>
        <w:tc>
          <w:tcPr>
            <w:tcW w:w="3238" w:type="dxa"/>
          </w:tcPr>
          <w:p w:rsidR="00E7645C" w:rsidRDefault="00B55CFD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Use 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JsonTypeInfo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, 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JsonTypeInfo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, and 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JsonSubTypes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 xml:space="preserve"> to encode class type in string and have </w:t>
            </w:r>
            <w:proofErr w:type="spellStart"/>
            <w:proofErr w:type="gram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jackson</w:t>
            </w:r>
            <w:proofErr w:type="spellEnd"/>
            <w:proofErr w:type="gram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 xml:space="preserve"> automatically process it to the proper sub class.</w:t>
            </w:r>
          </w:p>
        </w:tc>
      </w:tr>
    </w:tbl>
    <w:p w:rsidR="00E7645C" w:rsidRDefault="00E7645C" w:rsidP="00E7645C"/>
    <w:sectPr w:rsidR="00E7645C" w:rsidSect="00E764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7E8"/>
    <w:multiLevelType w:val="hybridMultilevel"/>
    <w:tmpl w:val="D09ECA08"/>
    <w:lvl w:ilvl="0" w:tplc="88EE8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5C"/>
    <w:rsid w:val="001D0EA1"/>
    <w:rsid w:val="0023547D"/>
    <w:rsid w:val="004718DC"/>
    <w:rsid w:val="004B0807"/>
    <w:rsid w:val="00B55CFD"/>
    <w:rsid w:val="00C3480A"/>
    <w:rsid w:val="00CA7BE3"/>
    <w:rsid w:val="00E7645C"/>
    <w:rsid w:val="00F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Jensen (Contractor)</dc:creator>
  <cp:lastModifiedBy>Lance Jensen (Contractor)</cp:lastModifiedBy>
  <cp:revision>5</cp:revision>
  <dcterms:created xsi:type="dcterms:W3CDTF">2014-12-12T15:05:00Z</dcterms:created>
  <dcterms:modified xsi:type="dcterms:W3CDTF">2014-12-15T12:23:00Z</dcterms:modified>
</cp:coreProperties>
</file>