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DB1C51" w:rsidRDefault="00DB1C51"/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1C5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1C5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B1C51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DB1C51">
        <w:rPr>
          <w:rFonts w:ascii="Times New Roman" w:hAnsi="Times New Roman" w:cs="Times New Roman"/>
          <w:b/>
          <w:caps/>
          <w:sz w:val="24"/>
        </w:rPr>
        <w:t>МИИТ)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B1C51" w:rsidRPr="00DB1C51" w:rsidTr="00DB1C51">
        <w:tc>
          <w:tcPr>
            <w:tcW w:w="3686" w:type="dxa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B1C51" w:rsidRPr="00DB1C51" w:rsidTr="00DB1C51">
        <w:tc>
          <w:tcPr>
            <w:tcW w:w="3686" w:type="dxa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B1C51" w:rsidRPr="00DB1C51" w:rsidTr="00DB1C51">
        <w:tc>
          <w:tcPr>
            <w:tcW w:w="3686" w:type="dxa"/>
          </w:tcPr>
          <w:p w:rsidR="00DB1C51" w:rsidRPr="00DB1C51" w:rsidRDefault="00DB1C51" w:rsidP="00DB1C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1C51" w:rsidRPr="00DB1C51" w:rsidRDefault="00DB1C51" w:rsidP="00DB1C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B1C51" w:rsidRPr="00DB1C51" w:rsidTr="00DB1C51">
        <w:tc>
          <w:tcPr>
            <w:tcW w:w="3686" w:type="dxa"/>
          </w:tcPr>
          <w:p w:rsidR="00DB1C51" w:rsidRPr="00DB1C51" w:rsidRDefault="00DB1C51" w:rsidP="00DB1C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1C51" w:rsidRPr="00DB1C51" w:rsidRDefault="00DB1C51" w:rsidP="00DB1C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B1C51" w:rsidRPr="00DB1C51" w:rsidTr="00DB1C51">
        <w:tc>
          <w:tcPr>
            <w:tcW w:w="3686" w:type="dxa"/>
          </w:tcPr>
          <w:p w:rsidR="00DB1C51" w:rsidRPr="00DB1C51" w:rsidRDefault="00DB1C51" w:rsidP="00DB1C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1C51" w:rsidRPr="00DB1C51" w:rsidRDefault="00DB1C51" w:rsidP="00DB1C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1C5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B1C5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B1C5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B1C51">
        <w:rPr>
          <w:rFonts w:ascii="Times New Roman" w:hAnsi="Times New Roman" w:cs="Times New Roman"/>
          <w:sz w:val="28"/>
        </w:rPr>
        <w:t>на 2017/2018 учебный год</w:t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B1C51" w:rsidTr="00DB1C51">
        <w:tc>
          <w:tcPr>
            <w:tcW w:w="4077" w:type="dxa"/>
          </w:tcPr>
          <w:p w:rsidR="00DB1C51" w:rsidRPr="00DB1C51" w:rsidRDefault="00DB1C51" w:rsidP="00DB1C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1C5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B1C51" w:rsidRPr="00DB1C51" w:rsidRDefault="00DB1C51" w:rsidP="00DB1C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1C51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DB1C51" w:rsidTr="00DB1C51">
        <w:tc>
          <w:tcPr>
            <w:tcW w:w="4077" w:type="dxa"/>
          </w:tcPr>
          <w:p w:rsidR="00DB1C51" w:rsidRPr="00DB1C51" w:rsidRDefault="00DB1C51" w:rsidP="00DB1C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1C5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B1C51" w:rsidRPr="00DB1C51" w:rsidRDefault="00DB1C51" w:rsidP="00DB1C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1C5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1C51" w:rsidTr="00DB1C51">
        <w:tc>
          <w:tcPr>
            <w:tcW w:w="4077" w:type="dxa"/>
          </w:tcPr>
          <w:p w:rsidR="00DB1C51" w:rsidRPr="00DB1C51" w:rsidRDefault="00DB1C51" w:rsidP="00DB1C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1C5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1C5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B1C51" w:rsidTr="00DB1C51">
        <w:tc>
          <w:tcPr>
            <w:tcW w:w="4077" w:type="dxa"/>
          </w:tcPr>
          <w:p w:rsidR="00DB1C51" w:rsidRPr="00DB1C51" w:rsidRDefault="00DB1C51" w:rsidP="00DB1C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1C5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B1C51" w:rsidRPr="00DB1C51" w:rsidRDefault="00DB1C51" w:rsidP="00DB1C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1C51">
              <w:rPr>
                <w:rFonts w:ascii="Times New Roman" w:hAnsi="Times New Roman" w:cs="Times New Roman"/>
                <w:sz w:val="28"/>
              </w:rPr>
              <w:t>Старший научный сотрудник</w:t>
            </w:r>
          </w:p>
        </w:tc>
      </w:tr>
      <w:tr w:rsidR="00DB1C51" w:rsidTr="00513911">
        <w:tc>
          <w:tcPr>
            <w:tcW w:w="9606" w:type="dxa"/>
            <w:gridSpan w:val="2"/>
          </w:tcPr>
          <w:p w:rsidR="00DB1C51" w:rsidRPr="00DB1C51" w:rsidRDefault="00DB1C51" w:rsidP="00DB1C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1C51">
              <w:rPr>
                <w:rFonts w:ascii="Times New Roman" w:hAnsi="Times New Roman" w:cs="Times New Roman"/>
                <w:b/>
                <w:sz w:val="24"/>
              </w:rPr>
              <w:t>Совместитель внутренний  1  ставка</w:t>
            </w:r>
          </w:p>
        </w:tc>
      </w:tr>
      <w:tr w:rsidR="00DB1C51" w:rsidTr="00077AF2">
        <w:tc>
          <w:tcPr>
            <w:tcW w:w="9606" w:type="dxa"/>
            <w:gridSpan w:val="2"/>
          </w:tcPr>
          <w:p w:rsidR="00DB1C51" w:rsidRPr="00DB1C51" w:rsidRDefault="00DB1C51" w:rsidP="00DB1C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1C51">
              <w:rPr>
                <w:rFonts w:ascii="Times New Roman" w:hAnsi="Times New Roman" w:cs="Times New Roman"/>
                <w:b/>
                <w:sz w:val="24"/>
              </w:rPr>
              <w:t>Совместитель внешний</w:t>
            </w:r>
            <w:proofErr w:type="gramStart"/>
            <w:r w:rsidRPr="00DB1C51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DB1C51">
              <w:rPr>
                <w:rFonts w:ascii="Times New Roman" w:hAnsi="Times New Roman" w:cs="Times New Roman"/>
                <w:b/>
                <w:sz w:val="24"/>
              </w:rPr>
              <w:t>ставка</w:t>
            </w:r>
          </w:p>
        </w:tc>
      </w:tr>
    </w:tbl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1C51" w:rsidRDefault="00DB1C51" w:rsidP="00DB1C5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B1C5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B1C51" w:rsidRDefault="00DB1C51" w:rsidP="00DB1C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DB1C51" w:rsidRDefault="00DB1C51" w:rsidP="00DB1C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B1C51" w:rsidRDefault="00DB1C51" w:rsidP="00DB1C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B1C51" w:rsidRDefault="00DB1C5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1C5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B1C51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16F4B" w:rsidRDefault="00816F4B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B1C51" w:rsidRPr="00DB1C51" w:rsidTr="00DB1C5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c>
          <w:tcPr>
            <w:tcW w:w="3000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1C5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B1C51">
              <w:rPr>
                <w:rFonts w:ascii="Times New Roman" w:hAnsi="Times New Roman" w:cs="Times New Roman"/>
                <w:b/>
                <w:sz w:val="20"/>
              </w:rPr>
              <w:t>857</w:t>
            </w:r>
          </w:p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1C51" w:rsidRDefault="00DB1C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1C5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1C51" w:rsidRPr="00DB1C51" w:rsidTr="00DB1C51">
        <w:tc>
          <w:tcPr>
            <w:tcW w:w="4525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1C51" w:rsidRPr="00DB1C51" w:rsidTr="00DB1C51">
        <w:trPr>
          <w:trHeight w:val="6805"/>
        </w:trPr>
        <w:tc>
          <w:tcPr>
            <w:tcW w:w="4525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rPr>
          <w:trHeight w:val="6805"/>
        </w:trPr>
        <w:tc>
          <w:tcPr>
            <w:tcW w:w="4525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1C51" w:rsidRDefault="00DB1C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1C5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1C51" w:rsidRPr="00DB1C51" w:rsidTr="00DB1C51">
        <w:tc>
          <w:tcPr>
            <w:tcW w:w="4525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1C51" w:rsidRPr="00DB1C51" w:rsidTr="00DB1C51">
        <w:trPr>
          <w:trHeight w:val="6805"/>
        </w:trPr>
        <w:tc>
          <w:tcPr>
            <w:tcW w:w="4525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модели для анализа погрешностей тракта аналого-цифрового преобразования в мультипроцессорных системах.</w:t>
            </w:r>
          </w:p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статьи для журнала из списка ВАК.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rPr>
          <w:trHeight w:val="6805"/>
        </w:trPr>
        <w:tc>
          <w:tcPr>
            <w:tcW w:w="4525" w:type="dxa"/>
            <w:shd w:val="clear" w:color="auto" w:fill="auto"/>
          </w:tcPr>
          <w:p w:rsid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Анализ погрешностей и помехоустойчивости тракта аналого-цифрового преобразования в мультипроцессорных системах.</w:t>
            </w:r>
          </w:p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статьи для журнала, зарегистрированного в международной базе цитирования.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1C51" w:rsidRDefault="00DB1C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1C5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1C51" w:rsidRPr="00DB1C51" w:rsidTr="00DB1C51">
        <w:tc>
          <w:tcPr>
            <w:tcW w:w="4525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1C51" w:rsidRPr="00DB1C51" w:rsidTr="00DB1C51">
        <w:trPr>
          <w:trHeight w:val="6238"/>
        </w:trPr>
        <w:tc>
          <w:tcPr>
            <w:tcW w:w="4525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1C51" w:rsidRPr="00DB1C51" w:rsidTr="00DB1C51">
        <w:trPr>
          <w:trHeight w:val="6238"/>
        </w:trPr>
        <w:tc>
          <w:tcPr>
            <w:tcW w:w="4525" w:type="dxa"/>
            <w:shd w:val="clear" w:color="auto" w:fill="auto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1C51" w:rsidRPr="00DB1C51" w:rsidRDefault="00DB1C51" w:rsidP="00DB1C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1C51" w:rsidRDefault="00DB1C51" w:rsidP="00DB1C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1C51" w:rsidRPr="00DB1C51" w:rsidRDefault="00DB1C51" w:rsidP="00DB1C5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1C5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B1C51" w:rsidRPr="00DB1C51" w:rsidSect="00DB1C5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51"/>
    <w:rsid w:val="00816F4B"/>
    <w:rsid w:val="00BA43CF"/>
    <w:rsid w:val="00D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3355</Characters>
  <Application>Microsoft Office Word</Application>
  <DocSecurity>0</DocSecurity>
  <Lines>27</Lines>
  <Paragraphs>7</Paragraphs>
  <ScaleCrop>false</ScaleCrop>
  <Company>Дом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2018-01-24T22:06:00Z</dcterms:modified>
</cp:coreProperties>
</file>